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tblpX="-147"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7"/>
        <w:gridCol w:w="7791"/>
      </w:tblGrid>
      <w:tr w:rsidR="009B4EBD" w:rsidRPr="0049629A" w:rsidTr="003361B2">
        <w:trPr>
          <w:trHeight w:val="313"/>
        </w:trPr>
        <w:tc>
          <w:tcPr>
            <w:tcW w:w="10910" w:type="dxa"/>
            <w:gridSpan w:val="3"/>
            <w:tcBorders>
              <w:top w:val="nil"/>
              <w:left w:val="nil"/>
              <w:bottom w:val="single" w:sz="4" w:space="0" w:color="auto"/>
              <w:right w:val="nil"/>
            </w:tcBorders>
          </w:tcPr>
          <w:p w:rsidR="0049629A" w:rsidRPr="0049629A" w:rsidRDefault="0049629A" w:rsidP="0093290B">
            <w:pPr>
              <w:jc w:val="both"/>
              <w:rPr>
                <w:rFonts w:ascii="Nirmala UI" w:hAnsi="Nirmala UI" w:cs="Nirmala UI"/>
                <w:b/>
                <w:bCs/>
                <w:color w:val="000000" w:themeColor="text1"/>
                <w:sz w:val="20"/>
              </w:rPr>
            </w:pPr>
            <w:bookmarkStart w:id="0" w:name="_GoBack"/>
            <w:bookmarkEnd w:id="0"/>
            <w:r w:rsidRPr="0049629A">
              <w:rPr>
                <w:rFonts w:ascii="Nirmala UI" w:hAnsi="Nirmala UI" w:cs="Nirmala UI"/>
                <w:b/>
                <w:bCs/>
                <w:color w:val="000000" w:themeColor="text1"/>
                <w:sz w:val="20"/>
              </w:rPr>
              <w:t>These conditions shall be read in conjunction with General Terms and Conditions of RFQ enclosed along with the tender enquiry. In case of any conflict or inconsistency, the requirement of SCC shall prevail over the General Terms and Conditions of RFQ.</w:t>
            </w:r>
          </w:p>
          <w:p w:rsidR="001308D6" w:rsidRPr="0049629A" w:rsidRDefault="001308D6" w:rsidP="0093290B">
            <w:pPr>
              <w:jc w:val="both"/>
              <w:rPr>
                <w:rFonts w:ascii="Nirmala UI" w:hAnsi="Nirmala UI" w:cs="Nirmala UI"/>
                <w:b/>
                <w:bCs/>
                <w:color w:val="000000" w:themeColor="text1"/>
                <w:sz w:val="20"/>
              </w:rPr>
            </w:pPr>
          </w:p>
        </w:tc>
      </w:tr>
      <w:tr w:rsidR="0097485E" w:rsidRPr="0049629A" w:rsidTr="003361B2">
        <w:trPr>
          <w:trHeight w:val="63"/>
        </w:trPr>
        <w:tc>
          <w:tcPr>
            <w:tcW w:w="562" w:type="dxa"/>
            <w:tcBorders>
              <w:top w:val="single" w:sz="4" w:space="0" w:color="auto"/>
            </w:tcBorders>
            <w:vAlign w:val="center"/>
          </w:tcPr>
          <w:p w:rsidR="0097485E" w:rsidRPr="0049629A" w:rsidRDefault="0097485E" w:rsidP="0093290B">
            <w:pPr>
              <w:pStyle w:val="ListParagraph"/>
              <w:numPr>
                <w:ilvl w:val="0"/>
                <w:numId w:val="1"/>
              </w:numPr>
              <w:ind w:left="0" w:firstLine="0"/>
              <w:jc w:val="both"/>
              <w:rPr>
                <w:rFonts w:ascii="Nirmala UI" w:hAnsi="Nirmala UI" w:cs="Nirmala UI"/>
                <w:color w:val="000000" w:themeColor="text1"/>
                <w:sz w:val="20"/>
              </w:rPr>
            </w:pPr>
          </w:p>
        </w:tc>
        <w:tc>
          <w:tcPr>
            <w:tcW w:w="2557" w:type="dxa"/>
            <w:tcBorders>
              <w:top w:val="single" w:sz="4" w:space="0" w:color="auto"/>
            </w:tcBorders>
            <w:vAlign w:val="center"/>
          </w:tcPr>
          <w:p w:rsidR="0097485E" w:rsidRPr="0049629A" w:rsidRDefault="00416FCF" w:rsidP="0093290B">
            <w:pPr>
              <w:rPr>
                <w:rFonts w:ascii="Nirmala UI" w:hAnsi="Nirmala UI" w:cs="Nirmala UI"/>
                <w:color w:val="000000" w:themeColor="text1"/>
                <w:sz w:val="20"/>
              </w:rPr>
            </w:pPr>
            <w:r w:rsidRPr="0049629A">
              <w:rPr>
                <w:rFonts w:ascii="Nirmala UI" w:hAnsi="Nirmala UI" w:cs="Nirmala UI"/>
                <w:color w:val="000000" w:themeColor="text1"/>
                <w:sz w:val="20"/>
              </w:rPr>
              <w:t>Type of Contract</w:t>
            </w:r>
          </w:p>
        </w:tc>
        <w:tc>
          <w:tcPr>
            <w:tcW w:w="7791" w:type="dxa"/>
            <w:tcBorders>
              <w:top w:val="single" w:sz="4" w:space="0" w:color="auto"/>
            </w:tcBorders>
            <w:vAlign w:val="center"/>
          </w:tcPr>
          <w:p w:rsidR="0097485E" w:rsidRPr="0049629A" w:rsidRDefault="005A2FE0" w:rsidP="0093290B">
            <w:pPr>
              <w:autoSpaceDE w:val="0"/>
              <w:autoSpaceDN w:val="0"/>
              <w:adjustRightInd w:val="0"/>
              <w:jc w:val="both"/>
              <w:rPr>
                <w:rFonts w:ascii="Nirmala UI" w:hAnsi="Nirmala UI" w:cs="Nirmala UI"/>
                <w:sz w:val="20"/>
                <w:lang w:val="en-IN"/>
              </w:rPr>
            </w:pPr>
            <w:r w:rsidRPr="0049629A">
              <w:rPr>
                <w:rFonts w:ascii="Nirmala UI" w:hAnsi="Nirmala UI" w:cs="Nirmala UI"/>
                <w:sz w:val="20"/>
                <w:lang w:val="en-IN"/>
              </w:rPr>
              <w:t>Supply.</w:t>
            </w:r>
          </w:p>
        </w:tc>
      </w:tr>
      <w:tr w:rsidR="00416FCF" w:rsidRPr="0049629A" w:rsidTr="003361B2">
        <w:trPr>
          <w:trHeight w:val="63"/>
        </w:trPr>
        <w:tc>
          <w:tcPr>
            <w:tcW w:w="562" w:type="dxa"/>
            <w:vAlign w:val="center"/>
          </w:tcPr>
          <w:p w:rsidR="00416FCF" w:rsidRPr="0049629A" w:rsidRDefault="00416FCF"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416FCF" w:rsidRPr="0049629A" w:rsidRDefault="00447DD2" w:rsidP="0093290B">
            <w:pPr>
              <w:rPr>
                <w:rFonts w:ascii="Nirmala UI" w:hAnsi="Nirmala UI" w:cs="Nirmala UI"/>
                <w:color w:val="000000" w:themeColor="text1"/>
                <w:sz w:val="20"/>
              </w:rPr>
            </w:pPr>
            <w:r w:rsidRPr="0049629A">
              <w:rPr>
                <w:rFonts w:ascii="Nirmala UI" w:hAnsi="Nirmala UI" w:cs="Nirmala UI"/>
                <w:color w:val="000000" w:themeColor="text1"/>
                <w:sz w:val="20"/>
              </w:rPr>
              <w:t xml:space="preserve">Scope of </w:t>
            </w:r>
            <w:r w:rsidR="00C07792" w:rsidRPr="0049629A">
              <w:rPr>
                <w:rFonts w:ascii="Nirmala UI" w:hAnsi="Nirmala UI" w:cs="Nirmala UI"/>
                <w:color w:val="000000" w:themeColor="text1"/>
                <w:sz w:val="20"/>
              </w:rPr>
              <w:t>Supply</w:t>
            </w:r>
          </w:p>
        </w:tc>
        <w:tc>
          <w:tcPr>
            <w:tcW w:w="7791" w:type="dxa"/>
            <w:vAlign w:val="center"/>
          </w:tcPr>
          <w:p w:rsidR="00C07792" w:rsidRPr="0049629A" w:rsidRDefault="00C92ACE" w:rsidP="002416F5">
            <w:pPr>
              <w:autoSpaceDE w:val="0"/>
              <w:autoSpaceDN w:val="0"/>
              <w:adjustRightInd w:val="0"/>
              <w:jc w:val="both"/>
              <w:rPr>
                <w:rFonts w:ascii="Nirmala UI" w:hAnsi="Nirmala UI" w:cs="Nirmala UI"/>
                <w:sz w:val="20"/>
                <w:lang w:val="en-IN"/>
              </w:rPr>
            </w:pPr>
            <w:r w:rsidRPr="00C92ACE">
              <w:rPr>
                <w:rFonts w:ascii="Nirmala UI" w:hAnsi="Nirmala UI" w:cs="Nirmala UI"/>
                <w:sz w:val="20"/>
                <w:lang w:val="en-IN"/>
              </w:rPr>
              <w:t xml:space="preserve">Supply of </w:t>
            </w:r>
            <w:r w:rsidR="002416F5">
              <w:rPr>
                <w:rFonts w:ascii="Nirmala UI" w:hAnsi="Nirmala UI" w:cs="Nirmala UI"/>
                <w:sz w:val="20"/>
                <w:lang w:val="en-IN"/>
              </w:rPr>
              <w:t>FOSROC CONBEXTRA GP2 25 KG BAG</w:t>
            </w:r>
          </w:p>
        </w:tc>
      </w:tr>
      <w:tr w:rsidR="0097485E" w:rsidRPr="0049629A" w:rsidTr="003361B2">
        <w:trPr>
          <w:trHeight w:val="63"/>
        </w:trPr>
        <w:tc>
          <w:tcPr>
            <w:tcW w:w="562" w:type="dxa"/>
            <w:vAlign w:val="center"/>
          </w:tcPr>
          <w:p w:rsidR="0097485E" w:rsidRPr="0049629A" w:rsidRDefault="0097485E"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97485E" w:rsidRPr="0049629A" w:rsidRDefault="0097485E" w:rsidP="0093290B">
            <w:pPr>
              <w:rPr>
                <w:rFonts w:ascii="Nirmala UI" w:hAnsi="Nirmala UI" w:cs="Nirmala UI"/>
                <w:color w:val="000000" w:themeColor="text1"/>
                <w:sz w:val="20"/>
              </w:rPr>
            </w:pPr>
            <w:r w:rsidRPr="0049629A">
              <w:rPr>
                <w:rFonts w:ascii="Nirmala UI" w:hAnsi="Nirmala UI" w:cs="Nirmala UI"/>
                <w:color w:val="000000" w:themeColor="text1"/>
                <w:sz w:val="20"/>
              </w:rPr>
              <w:t xml:space="preserve">Consignee </w:t>
            </w:r>
            <w:r w:rsidR="00725528" w:rsidRPr="0049629A">
              <w:rPr>
                <w:rFonts w:ascii="Nirmala UI" w:hAnsi="Nirmala UI" w:cs="Nirmala UI"/>
                <w:color w:val="000000" w:themeColor="text1"/>
                <w:sz w:val="20"/>
              </w:rPr>
              <w:t>Details</w:t>
            </w:r>
            <w:r w:rsidR="00653B2F" w:rsidRPr="0049629A">
              <w:rPr>
                <w:rFonts w:ascii="Nirmala UI" w:hAnsi="Nirmala UI" w:cs="Nirmala UI"/>
                <w:color w:val="000000" w:themeColor="text1"/>
                <w:sz w:val="20"/>
              </w:rPr>
              <w:t xml:space="preserve"> (Ship To) [To be mentioned in LR/BL/Suppliers’ Invoice etc.]</w:t>
            </w:r>
          </w:p>
        </w:tc>
        <w:tc>
          <w:tcPr>
            <w:tcW w:w="7791" w:type="dxa"/>
            <w:vAlign w:val="center"/>
          </w:tcPr>
          <w:p w:rsidR="00163B1D" w:rsidRPr="0049629A" w:rsidRDefault="00163B1D" w:rsidP="0093290B">
            <w:pPr>
              <w:pStyle w:val="Header"/>
              <w:jc w:val="both"/>
              <w:rPr>
                <w:rFonts w:ascii="Nirmala UI" w:hAnsi="Nirmala UI" w:cs="Nirmala UI"/>
                <w:sz w:val="20"/>
              </w:rPr>
            </w:pPr>
            <w:r w:rsidRPr="0049629A">
              <w:rPr>
                <w:rFonts w:ascii="Nirmala UI" w:hAnsi="Nirmala UI" w:cs="Nirmala UI"/>
                <w:sz w:val="20"/>
              </w:rPr>
              <w:t>Stores In</w:t>
            </w:r>
            <w:r w:rsidR="00C87296" w:rsidRPr="0049629A">
              <w:rPr>
                <w:rFonts w:ascii="Nirmala UI" w:hAnsi="Nirmala UI" w:cs="Nirmala UI"/>
                <w:sz w:val="20"/>
              </w:rPr>
              <w:t>-</w:t>
            </w:r>
            <w:r w:rsidRPr="0049629A">
              <w:rPr>
                <w:rFonts w:ascii="Nirmala UI" w:hAnsi="Nirmala UI" w:cs="Nirmala UI"/>
                <w:sz w:val="20"/>
              </w:rPr>
              <w:t>charge</w:t>
            </w:r>
          </w:p>
          <w:p w:rsidR="00163B1D" w:rsidRPr="0049629A" w:rsidRDefault="00163B1D" w:rsidP="0093290B">
            <w:pPr>
              <w:pStyle w:val="Header"/>
              <w:jc w:val="both"/>
              <w:rPr>
                <w:rFonts w:ascii="Nirmala UI" w:hAnsi="Nirmala UI" w:cs="Nirmala UI"/>
                <w:sz w:val="20"/>
              </w:rPr>
            </w:pPr>
            <w:r w:rsidRPr="0049629A">
              <w:rPr>
                <w:rFonts w:ascii="Nirmala UI" w:hAnsi="Nirmala UI" w:cs="Nirmala UI"/>
                <w:sz w:val="20"/>
              </w:rPr>
              <w:t>Bharat Heavy Electricals Limited</w:t>
            </w:r>
          </w:p>
          <w:p w:rsidR="00163B1D" w:rsidRPr="0049629A" w:rsidRDefault="00163B1D" w:rsidP="0093290B">
            <w:pPr>
              <w:pStyle w:val="Header"/>
              <w:jc w:val="both"/>
              <w:rPr>
                <w:rFonts w:ascii="Nirmala UI" w:hAnsi="Nirmala UI" w:cs="Nirmala UI"/>
                <w:sz w:val="20"/>
              </w:rPr>
            </w:pPr>
            <w:r w:rsidRPr="0049629A">
              <w:rPr>
                <w:rFonts w:ascii="Nirmala UI" w:hAnsi="Nirmala UI" w:cs="Nirmala UI"/>
                <w:sz w:val="20"/>
              </w:rPr>
              <w:t>Electric &amp; Photovoltaic Division</w:t>
            </w:r>
            <w:r w:rsidR="00653B2F" w:rsidRPr="0049629A">
              <w:rPr>
                <w:rFonts w:ascii="Nirmala UI" w:hAnsi="Nirmala UI" w:cs="Nirmala UI"/>
                <w:sz w:val="20"/>
              </w:rPr>
              <w:t xml:space="preserve">  (Formerly known as Electroporcelains Division)</w:t>
            </w:r>
          </w:p>
          <w:p w:rsidR="00163B1D" w:rsidRPr="0049629A" w:rsidRDefault="00163B1D" w:rsidP="0093290B">
            <w:pPr>
              <w:pStyle w:val="Header"/>
              <w:jc w:val="both"/>
              <w:rPr>
                <w:rFonts w:ascii="Nirmala UI" w:hAnsi="Nirmala UI" w:cs="Nirmala UI"/>
                <w:sz w:val="20"/>
              </w:rPr>
            </w:pPr>
            <w:r w:rsidRPr="0049629A">
              <w:rPr>
                <w:rFonts w:ascii="Nirmala UI" w:hAnsi="Nirmala UI" w:cs="Nirmala UI"/>
                <w:sz w:val="20"/>
              </w:rPr>
              <w:t>Prof. C.N.R Rao Circle, Science Institute Post, Malleswaram</w:t>
            </w:r>
          </w:p>
          <w:p w:rsidR="00033027" w:rsidRPr="0049629A" w:rsidRDefault="0016551B" w:rsidP="0093290B">
            <w:pPr>
              <w:autoSpaceDE w:val="0"/>
              <w:autoSpaceDN w:val="0"/>
              <w:adjustRightInd w:val="0"/>
              <w:jc w:val="both"/>
              <w:rPr>
                <w:rFonts w:ascii="Nirmala UI" w:hAnsi="Nirmala UI" w:cs="Nirmala UI"/>
                <w:color w:val="000000" w:themeColor="text1"/>
                <w:sz w:val="20"/>
                <w:lang w:val="en-IN"/>
              </w:rPr>
            </w:pPr>
            <w:r w:rsidRPr="0049629A">
              <w:rPr>
                <w:rFonts w:ascii="Nirmala UI" w:hAnsi="Nirmala UI" w:cs="Nirmala UI"/>
                <w:sz w:val="20"/>
              </w:rPr>
              <w:t>Bengaluru</w:t>
            </w:r>
            <w:r w:rsidR="00163B1D" w:rsidRPr="0049629A">
              <w:rPr>
                <w:rFonts w:ascii="Nirmala UI" w:hAnsi="Nirmala UI" w:cs="Nirmala UI"/>
                <w:sz w:val="20"/>
              </w:rPr>
              <w:t>-560012</w:t>
            </w:r>
          </w:p>
        </w:tc>
      </w:tr>
      <w:tr w:rsidR="0097485E" w:rsidRPr="0049629A" w:rsidTr="003361B2">
        <w:trPr>
          <w:trHeight w:val="313"/>
        </w:trPr>
        <w:tc>
          <w:tcPr>
            <w:tcW w:w="562" w:type="dxa"/>
            <w:vAlign w:val="center"/>
          </w:tcPr>
          <w:p w:rsidR="0097485E" w:rsidRPr="0049629A" w:rsidRDefault="0097485E"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97485E" w:rsidRPr="0049629A" w:rsidRDefault="0097485E" w:rsidP="0093290B">
            <w:pPr>
              <w:rPr>
                <w:rFonts w:ascii="Nirmala UI" w:hAnsi="Nirmala UI" w:cs="Nirmala UI"/>
                <w:color w:val="000000" w:themeColor="text1"/>
                <w:sz w:val="20"/>
              </w:rPr>
            </w:pPr>
            <w:r w:rsidRPr="0049629A">
              <w:rPr>
                <w:rFonts w:ascii="Nirmala UI" w:hAnsi="Nirmala UI" w:cs="Nirmala UI"/>
                <w:color w:val="000000" w:themeColor="text1"/>
                <w:sz w:val="20"/>
              </w:rPr>
              <w:t xml:space="preserve">Buyer </w:t>
            </w:r>
            <w:r w:rsidR="00653B2F" w:rsidRPr="0049629A">
              <w:rPr>
                <w:rFonts w:ascii="Nirmala UI" w:hAnsi="Nirmala UI" w:cs="Nirmala UI"/>
                <w:color w:val="000000" w:themeColor="text1"/>
                <w:sz w:val="20"/>
              </w:rPr>
              <w:t>(Bill To)</w:t>
            </w:r>
            <w:r w:rsidR="00447DD2" w:rsidRPr="0049629A">
              <w:rPr>
                <w:rFonts w:ascii="Nirmala UI" w:hAnsi="Nirmala UI" w:cs="Nirmala UI"/>
                <w:color w:val="000000" w:themeColor="text1"/>
                <w:sz w:val="20"/>
              </w:rPr>
              <w:t xml:space="preserve"> &amp; Paying Authority</w:t>
            </w:r>
            <w:r w:rsidR="00473631" w:rsidRPr="0049629A">
              <w:rPr>
                <w:rFonts w:ascii="Nirmala UI" w:hAnsi="Nirmala UI" w:cs="Nirmala UI"/>
                <w:color w:val="000000" w:themeColor="text1"/>
                <w:sz w:val="20"/>
              </w:rPr>
              <w:t>.</w:t>
            </w:r>
          </w:p>
        </w:tc>
        <w:tc>
          <w:tcPr>
            <w:tcW w:w="7791" w:type="dxa"/>
            <w:vAlign w:val="center"/>
          </w:tcPr>
          <w:p w:rsidR="00653B2F" w:rsidRPr="0049629A" w:rsidRDefault="00653B2F" w:rsidP="0093290B">
            <w:pPr>
              <w:pStyle w:val="Header"/>
              <w:jc w:val="both"/>
              <w:rPr>
                <w:rFonts w:ascii="Nirmala UI" w:hAnsi="Nirmala UI" w:cs="Nirmala UI"/>
                <w:sz w:val="20"/>
              </w:rPr>
            </w:pPr>
            <w:r w:rsidRPr="0049629A">
              <w:rPr>
                <w:rFonts w:ascii="Nirmala UI" w:hAnsi="Nirmala UI" w:cs="Nirmala UI"/>
                <w:sz w:val="20"/>
              </w:rPr>
              <w:t>Bharat Heavy Electricals Limited</w:t>
            </w:r>
          </w:p>
          <w:p w:rsidR="00653B2F" w:rsidRPr="0049629A" w:rsidRDefault="00653B2F" w:rsidP="0093290B">
            <w:pPr>
              <w:pStyle w:val="Header"/>
              <w:jc w:val="both"/>
              <w:rPr>
                <w:rFonts w:ascii="Nirmala UI" w:hAnsi="Nirmala UI" w:cs="Nirmala UI"/>
                <w:sz w:val="20"/>
              </w:rPr>
            </w:pPr>
            <w:r w:rsidRPr="0049629A">
              <w:rPr>
                <w:rFonts w:ascii="Nirmala UI" w:hAnsi="Nirmala UI" w:cs="Nirmala UI"/>
                <w:sz w:val="20"/>
              </w:rPr>
              <w:t>Electric &amp; Photovoltaic Division (Formerly known as Electroporcelains Division)</w:t>
            </w:r>
          </w:p>
          <w:p w:rsidR="00653B2F" w:rsidRPr="0049629A" w:rsidRDefault="00653B2F" w:rsidP="0093290B">
            <w:pPr>
              <w:pStyle w:val="Header"/>
              <w:jc w:val="both"/>
              <w:rPr>
                <w:rFonts w:ascii="Nirmala UI" w:hAnsi="Nirmala UI" w:cs="Nirmala UI"/>
                <w:sz w:val="20"/>
              </w:rPr>
            </w:pPr>
            <w:r w:rsidRPr="0049629A">
              <w:rPr>
                <w:rFonts w:ascii="Nirmala UI" w:hAnsi="Nirmala UI" w:cs="Nirmala UI"/>
                <w:sz w:val="20"/>
              </w:rPr>
              <w:t>Prof. C.N.R Rao Circle, Science Institute Post, Malleswaram</w:t>
            </w:r>
          </w:p>
          <w:p w:rsidR="0097485E" w:rsidRPr="0049629A" w:rsidRDefault="00653B2F" w:rsidP="0093290B">
            <w:pPr>
              <w:pStyle w:val="Header"/>
              <w:jc w:val="both"/>
              <w:rPr>
                <w:rFonts w:ascii="Nirmala UI" w:hAnsi="Nirmala UI" w:cs="Nirmala UI"/>
                <w:sz w:val="20"/>
              </w:rPr>
            </w:pPr>
            <w:r w:rsidRPr="0049629A">
              <w:rPr>
                <w:rFonts w:ascii="Nirmala UI" w:hAnsi="Nirmala UI" w:cs="Nirmala UI"/>
                <w:sz w:val="20"/>
              </w:rPr>
              <w:t>Bengaluru-560012</w:t>
            </w:r>
          </w:p>
        </w:tc>
      </w:tr>
      <w:tr w:rsidR="000A431D" w:rsidRPr="0049629A" w:rsidTr="003361B2">
        <w:trPr>
          <w:trHeight w:val="70"/>
        </w:trPr>
        <w:tc>
          <w:tcPr>
            <w:tcW w:w="562" w:type="dxa"/>
            <w:vAlign w:val="center"/>
          </w:tcPr>
          <w:p w:rsidR="000A431D" w:rsidRPr="0049629A" w:rsidRDefault="000A431D"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0A431D" w:rsidRPr="0049629A" w:rsidRDefault="000A431D" w:rsidP="0093290B">
            <w:pPr>
              <w:rPr>
                <w:rFonts w:ascii="Nirmala UI" w:hAnsi="Nirmala UI" w:cs="Nirmala UI"/>
                <w:color w:val="000000" w:themeColor="text1"/>
                <w:sz w:val="20"/>
              </w:rPr>
            </w:pPr>
            <w:r w:rsidRPr="0049629A">
              <w:rPr>
                <w:rFonts w:ascii="Nirmala UI" w:hAnsi="Nirmala UI" w:cs="Nirmala UI"/>
                <w:color w:val="000000" w:themeColor="text1"/>
                <w:sz w:val="20"/>
              </w:rPr>
              <w:t>Buyer e-mail ID</w:t>
            </w:r>
          </w:p>
        </w:tc>
        <w:tc>
          <w:tcPr>
            <w:tcW w:w="7791" w:type="dxa"/>
            <w:vAlign w:val="center"/>
          </w:tcPr>
          <w:p w:rsidR="000A431D" w:rsidRPr="0049629A" w:rsidRDefault="00D76741" w:rsidP="00BB7CD5">
            <w:pPr>
              <w:pStyle w:val="Header"/>
              <w:jc w:val="both"/>
              <w:rPr>
                <w:rFonts w:ascii="Nirmala UI" w:hAnsi="Nirmala UI" w:cs="Nirmala UI"/>
                <w:sz w:val="20"/>
              </w:rPr>
            </w:pPr>
            <w:hyperlink r:id="rId8" w:history="1">
              <w:r w:rsidR="00BB7CD5" w:rsidRPr="00BB7CD5">
                <w:t>elan@bhel.in</w:t>
              </w:r>
            </w:hyperlink>
            <w:r w:rsidR="00BB7CD5">
              <w:rPr>
                <w:rFonts w:ascii="Nirmala UI" w:hAnsi="Nirmala UI" w:cs="Nirmala UI"/>
                <w:sz w:val="20"/>
              </w:rPr>
              <w:t xml:space="preserve">, </w:t>
            </w:r>
            <w:hyperlink r:id="rId9" w:history="1">
              <w:r w:rsidR="006E19EE" w:rsidRPr="0049629A">
                <w:rPr>
                  <w:rFonts w:ascii="Nirmala UI" w:hAnsi="Nirmala UI" w:cs="Nirmala UI"/>
                  <w:sz w:val="20"/>
                </w:rPr>
                <w:t>aknived@bhel.in</w:t>
              </w:r>
            </w:hyperlink>
            <w:hyperlink r:id="rId10" w:history="1"/>
          </w:p>
        </w:tc>
      </w:tr>
      <w:tr w:rsidR="00980277" w:rsidRPr="0049629A" w:rsidTr="003361B2">
        <w:trPr>
          <w:trHeight w:val="70"/>
        </w:trPr>
        <w:tc>
          <w:tcPr>
            <w:tcW w:w="562" w:type="dxa"/>
            <w:vAlign w:val="center"/>
          </w:tcPr>
          <w:p w:rsidR="00980277" w:rsidRPr="0049629A" w:rsidRDefault="00980277"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980277" w:rsidRPr="0049629A" w:rsidRDefault="00980277" w:rsidP="0093290B">
            <w:pPr>
              <w:rPr>
                <w:rFonts w:ascii="Nirmala UI" w:hAnsi="Nirmala UI" w:cs="Nirmala UI"/>
                <w:color w:val="000000" w:themeColor="text1"/>
                <w:sz w:val="20"/>
              </w:rPr>
            </w:pPr>
            <w:r w:rsidRPr="0049629A">
              <w:rPr>
                <w:rFonts w:ascii="Nirmala UI" w:hAnsi="Nirmala UI" w:cs="Nirmala UI"/>
                <w:color w:val="000000" w:themeColor="text1"/>
                <w:sz w:val="20"/>
              </w:rPr>
              <w:t>Buyer GST No</w:t>
            </w:r>
            <w:r w:rsidR="00C275D9" w:rsidRPr="0049629A">
              <w:rPr>
                <w:rFonts w:ascii="Nirmala UI" w:hAnsi="Nirmala UI" w:cs="Nirmala UI"/>
                <w:color w:val="000000" w:themeColor="text1"/>
                <w:sz w:val="20"/>
              </w:rPr>
              <w:t>.</w:t>
            </w:r>
          </w:p>
        </w:tc>
        <w:tc>
          <w:tcPr>
            <w:tcW w:w="7791" w:type="dxa"/>
            <w:vAlign w:val="center"/>
          </w:tcPr>
          <w:p w:rsidR="00980277" w:rsidRPr="0049629A" w:rsidRDefault="00980277" w:rsidP="0093290B">
            <w:pPr>
              <w:pStyle w:val="ListParagraph"/>
              <w:ind w:left="0"/>
              <w:jc w:val="both"/>
              <w:rPr>
                <w:rFonts w:ascii="Nirmala UI" w:hAnsi="Nirmala UI" w:cs="Nirmala UI"/>
                <w:color w:val="000000" w:themeColor="text1"/>
                <w:sz w:val="20"/>
              </w:rPr>
            </w:pPr>
            <w:r w:rsidRPr="0049629A">
              <w:rPr>
                <w:rFonts w:ascii="Nirmala UI" w:hAnsi="Nirmala UI" w:cs="Nirmala UI"/>
                <w:color w:val="000000" w:themeColor="text1"/>
                <w:sz w:val="20"/>
              </w:rPr>
              <w:t>GST No: 29AAACB4146P1ZB</w:t>
            </w:r>
          </w:p>
        </w:tc>
      </w:tr>
      <w:tr w:rsidR="004C1991" w:rsidRPr="0049629A" w:rsidTr="003361B2">
        <w:trPr>
          <w:trHeight w:val="70"/>
        </w:trPr>
        <w:tc>
          <w:tcPr>
            <w:tcW w:w="562" w:type="dxa"/>
            <w:vAlign w:val="center"/>
          </w:tcPr>
          <w:p w:rsidR="004C1991" w:rsidRPr="0049629A" w:rsidRDefault="004C1991" w:rsidP="004C1991">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4C1991" w:rsidRPr="004C1991" w:rsidRDefault="004C1991" w:rsidP="004C1991">
            <w:pPr>
              <w:rPr>
                <w:rFonts w:ascii="Nirmala UI" w:hAnsi="Nirmala UI" w:cs="Nirmala UI"/>
                <w:color w:val="000000" w:themeColor="text1"/>
                <w:sz w:val="20"/>
              </w:rPr>
            </w:pPr>
            <w:r w:rsidRPr="004C1991">
              <w:rPr>
                <w:rFonts w:ascii="Nirmala UI" w:hAnsi="Nirmala UI" w:cs="Nirmala UI"/>
                <w:color w:val="000000" w:themeColor="text1"/>
                <w:sz w:val="20"/>
              </w:rPr>
              <w:t>Integrity Pact</w:t>
            </w:r>
          </w:p>
        </w:tc>
        <w:tc>
          <w:tcPr>
            <w:tcW w:w="7791" w:type="dxa"/>
            <w:vAlign w:val="center"/>
          </w:tcPr>
          <w:p w:rsidR="004C1991" w:rsidRPr="004C1991" w:rsidRDefault="004C1991" w:rsidP="004C1991">
            <w:pPr>
              <w:jc w:val="both"/>
              <w:rPr>
                <w:rFonts w:ascii="Nirmala UI" w:hAnsi="Nirmala UI" w:cs="Nirmala UI"/>
                <w:color w:val="000000" w:themeColor="text1"/>
                <w:sz w:val="20"/>
              </w:rPr>
            </w:pPr>
            <w:r w:rsidRPr="004C1991">
              <w:rPr>
                <w:rFonts w:ascii="Nirmala UI" w:hAnsi="Nirmala UI" w:cs="Nirmala UI"/>
                <w:color w:val="000000" w:themeColor="text1"/>
                <w:sz w:val="20"/>
              </w:rPr>
              <w:t>Not Applicable.</w:t>
            </w:r>
          </w:p>
        </w:tc>
      </w:tr>
      <w:tr w:rsidR="005862C7" w:rsidRPr="0049629A" w:rsidTr="003361B2">
        <w:trPr>
          <w:trHeight w:val="313"/>
        </w:trPr>
        <w:tc>
          <w:tcPr>
            <w:tcW w:w="562" w:type="dxa"/>
            <w:vAlign w:val="center"/>
          </w:tcPr>
          <w:p w:rsidR="0097485E" w:rsidRPr="0049629A" w:rsidRDefault="0097485E" w:rsidP="0093290B">
            <w:pPr>
              <w:pStyle w:val="ListParagraph"/>
              <w:numPr>
                <w:ilvl w:val="0"/>
                <w:numId w:val="1"/>
              </w:numPr>
              <w:ind w:left="0" w:firstLine="0"/>
              <w:jc w:val="both"/>
              <w:rPr>
                <w:rFonts w:ascii="Nirmala UI" w:hAnsi="Nirmala UI" w:cs="Nirmala UI"/>
                <w:sz w:val="20"/>
              </w:rPr>
            </w:pPr>
          </w:p>
        </w:tc>
        <w:tc>
          <w:tcPr>
            <w:tcW w:w="2557" w:type="dxa"/>
            <w:vAlign w:val="center"/>
          </w:tcPr>
          <w:p w:rsidR="0097485E" w:rsidRPr="0049629A" w:rsidRDefault="0097485E" w:rsidP="0093290B">
            <w:pPr>
              <w:tabs>
                <w:tab w:val="center" w:pos="880"/>
              </w:tabs>
              <w:rPr>
                <w:rFonts w:ascii="Nirmala UI" w:hAnsi="Nirmala UI" w:cs="Nirmala UI"/>
                <w:sz w:val="20"/>
              </w:rPr>
            </w:pPr>
            <w:r w:rsidRPr="0049629A">
              <w:rPr>
                <w:rFonts w:ascii="Nirmala UI" w:hAnsi="Nirmala UI" w:cs="Nirmala UI"/>
                <w:sz w:val="20"/>
              </w:rPr>
              <w:t xml:space="preserve">Price </w:t>
            </w:r>
            <w:r w:rsidR="00416FCF" w:rsidRPr="0049629A">
              <w:rPr>
                <w:rFonts w:ascii="Nirmala UI" w:hAnsi="Nirmala UI" w:cs="Nirmala UI"/>
                <w:sz w:val="20"/>
              </w:rPr>
              <w:t>B</w:t>
            </w:r>
            <w:r w:rsidRPr="0049629A">
              <w:rPr>
                <w:rFonts w:ascii="Nirmala UI" w:hAnsi="Nirmala UI" w:cs="Nirmala UI"/>
                <w:sz w:val="20"/>
              </w:rPr>
              <w:t>asis</w:t>
            </w:r>
          </w:p>
        </w:tc>
        <w:tc>
          <w:tcPr>
            <w:tcW w:w="7791" w:type="dxa"/>
            <w:vAlign w:val="center"/>
          </w:tcPr>
          <w:p w:rsidR="00C92ACE" w:rsidRDefault="00C92ACE" w:rsidP="00C92ACE">
            <w:pPr>
              <w:pStyle w:val="Header"/>
              <w:jc w:val="both"/>
              <w:rPr>
                <w:rFonts w:ascii="Nirmala UI" w:hAnsi="Nirmala UI" w:cs="Nirmala UI"/>
                <w:sz w:val="20"/>
              </w:rPr>
            </w:pPr>
            <w:r w:rsidRPr="00C92ACE">
              <w:rPr>
                <w:rFonts w:ascii="Nirmala UI" w:hAnsi="Nirmala UI" w:cs="Nirmala UI"/>
                <w:sz w:val="20"/>
              </w:rPr>
              <w:t>The prices quoted shall be FIRM till completion of contract.</w:t>
            </w:r>
          </w:p>
          <w:p w:rsidR="00C92ACE" w:rsidRPr="00C92ACE" w:rsidRDefault="00C92ACE" w:rsidP="00C92ACE">
            <w:pPr>
              <w:pStyle w:val="Header"/>
              <w:jc w:val="both"/>
              <w:rPr>
                <w:rFonts w:ascii="Nirmala UI" w:hAnsi="Nirmala UI" w:cs="Nirmala UI"/>
                <w:sz w:val="20"/>
              </w:rPr>
            </w:pPr>
          </w:p>
          <w:p w:rsidR="00C92ACE" w:rsidRDefault="00C92ACE" w:rsidP="00C92ACE">
            <w:pPr>
              <w:pStyle w:val="Header"/>
              <w:jc w:val="both"/>
              <w:rPr>
                <w:rFonts w:ascii="Nirmala UI" w:hAnsi="Nirmala UI" w:cs="Nirmala UI"/>
                <w:sz w:val="20"/>
              </w:rPr>
            </w:pPr>
            <w:r w:rsidRPr="00C92ACE">
              <w:rPr>
                <w:rFonts w:ascii="Nirmala UI" w:hAnsi="Nirmala UI" w:cs="Nirmala UI"/>
                <w:sz w:val="20"/>
              </w:rPr>
              <w:t>FORD inclusive of testing, inspection, packing &amp; forwarding charges and freight &amp; insurance charges. Taxes &amp; Duties shall be payable in line with GTC &amp; SCC.</w:t>
            </w:r>
          </w:p>
          <w:p w:rsidR="00C92ACE" w:rsidRPr="00C92ACE" w:rsidRDefault="00C92ACE" w:rsidP="00C92ACE">
            <w:pPr>
              <w:pStyle w:val="Header"/>
              <w:jc w:val="both"/>
              <w:rPr>
                <w:rFonts w:ascii="Nirmala UI" w:hAnsi="Nirmala UI" w:cs="Nirmala UI"/>
                <w:sz w:val="20"/>
              </w:rPr>
            </w:pPr>
          </w:p>
          <w:p w:rsidR="003502CB" w:rsidRPr="0049629A" w:rsidRDefault="00C92ACE" w:rsidP="00C92ACE">
            <w:pPr>
              <w:pStyle w:val="Header"/>
              <w:jc w:val="both"/>
              <w:rPr>
                <w:rFonts w:ascii="Nirmala UI" w:hAnsi="Nirmala UI" w:cs="Nirmala UI"/>
                <w:color w:val="000000" w:themeColor="text1"/>
                <w:sz w:val="20"/>
              </w:rPr>
            </w:pPr>
            <w:r w:rsidRPr="00C92ACE">
              <w:rPr>
                <w:rFonts w:ascii="Nirmala UI" w:hAnsi="Nirmala UI" w:cs="Nirmala UI"/>
                <w:sz w:val="20"/>
              </w:rPr>
              <w:t>All the other applicable taxes including Income Taxes (TDS) as per Indian law shall be deducted from the payables &amp; paid to Govt. by BHEL.</w:t>
            </w:r>
          </w:p>
        </w:tc>
      </w:tr>
      <w:tr w:rsidR="00B57711" w:rsidRPr="0049629A" w:rsidTr="003361B2">
        <w:trPr>
          <w:trHeight w:val="313"/>
        </w:trPr>
        <w:tc>
          <w:tcPr>
            <w:tcW w:w="562" w:type="dxa"/>
            <w:vAlign w:val="center"/>
          </w:tcPr>
          <w:p w:rsidR="00B57711" w:rsidRPr="0049629A" w:rsidRDefault="00B57711"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B57711" w:rsidRPr="0049629A" w:rsidRDefault="00B57711" w:rsidP="0093290B">
            <w:pPr>
              <w:rPr>
                <w:rFonts w:ascii="Nirmala UI" w:hAnsi="Nirmala UI" w:cs="Nirmala UI"/>
                <w:color w:val="000000" w:themeColor="text1"/>
                <w:sz w:val="20"/>
              </w:rPr>
            </w:pPr>
            <w:r w:rsidRPr="0049629A">
              <w:rPr>
                <w:rFonts w:ascii="Nirmala UI" w:hAnsi="Nirmala UI" w:cs="Nirmala UI"/>
                <w:color w:val="000000" w:themeColor="text1"/>
                <w:sz w:val="20"/>
              </w:rPr>
              <w:t>Delivery Terms</w:t>
            </w:r>
          </w:p>
        </w:tc>
        <w:tc>
          <w:tcPr>
            <w:tcW w:w="7791" w:type="dxa"/>
            <w:vAlign w:val="center"/>
          </w:tcPr>
          <w:p w:rsidR="00C92ACE" w:rsidRDefault="00C92ACE" w:rsidP="00C92ACE">
            <w:pPr>
              <w:pStyle w:val="Header"/>
              <w:jc w:val="both"/>
              <w:rPr>
                <w:rFonts w:ascii="Nirmala UI" w:hAnsi="Nirmala UI" w:cs="Nirmala UI"/>
                <w:sz w:val="20"/>
              </w:rPr>
            </w:pPr>
            <w:r w:rsidRPr="00C92ACE">
              <w:rPr>
                <w:rFonts w:ascii="Nirmala UI" w:hAnsi="Nirmala UI" w:cs="Nirmala UI"/>
                <w:sz w:val="20"/>
              </w:rPr>
              <w:t>F.O.R Destination BHEL-EPD, Bengaluru.</w:t>
            </w:r>
          </w:p>
          <w:p w:rsidR="00C92ACE" w:rsidRPr="00C92ACE" w:rsidRDefault="00C92ACE" w:rsidP="00C92ACE">
            <w:pPr>
              <w:pStyle w:val="Header"/>
              <w:jc w:val="both"/>
              <w:rPr>
                <w:rFonts w:ascii="Nirmala UI" w:hAnsi="Nirmala UI" w:cs="Nirmala UI"/>
                <w:sz w:val="20"/>
              </w:rPr>
            </w:pPr>
          </w:p>
          <w:p w:rsidR="00B57711" w:rsidRPr="0049629A" w:rsidRDefault="00C92ACE" w:rsidP="00C92ACE">
            <w:pPr>
              <w:pStyle w:val="Header"/>
              <w:jc w:val="both"/>
              <w:rPr>
                <w:rFonts w:ascii="Nirmala UI" w:hAnsi="Nirmala UI" w:cs="Nirmala UI"/>
                <w:color w:val="000000" w:themeColor="text1"/>
                <w:sz w:val="20"/>
              </w:rPr>
            </w:pPr>
            <w:r w:rsidRPr="00C92ACE">
              <w:rPr>
                <w:rFonts w:ascii="Nirmala UI" w:hAnsi="Nirmala UI" w:cs="Nirmala UI"/>
                <w:sz w:val="20"/>
              </w:rPr>
              <w:t>Delivery timings at BHEL-EPD, Stores: 09:00 AM to 03:00 PM (on all working days). Entry through Materials Gate (Rear Gate) only.</w:t>
            </w:r>
          </w:p>
        </w:tc>
      </w:tr>
      <w:tr w:rsidR="002C590F" w:rsidRPr="0049629A" w:rsidTr="003361B2">
        <w:trPr>
          <w:trHeight w:val="313"/>
        </w:trPr>
        <w:tc>
          <w:tcPr>
            <w:tcW w:w="562" w:type="dxa"/>
            <w:vAlign w:val="center"/>
          </w:tcPr>
          <w:p w:rsidR="002C590F" w:rsidRPr="0049629A" w:rsidRDefault="002C590F" w:rsidP="0093290B">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2C590F" w:rsidRPr="0049629A" w:rsidRDefault="002C590F" w:rsidP="0093290B">
            <w:pPr>
              <w:rPr>
                <w:rFonts w:ascii="Nirmala UI" w:hAnsi="Nirmala UI" w:cs="Nirmala UI"/>
                <w:color w:val="000000" w:themeColor="text1"/>
                <w:sz w:val="20"/>
              </w:rPr>
            </w:pPr>
            <w:r w:rsidRPr="0049629A">
              <w:rPr>
                <w:rFonts w:ascii="Nirmala UI" w:hAnsi="Nirmala UI" w:cs="Nirmala UI"/>
                <w:color w:val="000000" w:themeColor="text1"/>
                <w:sz w:val="20"/>
              </w:rPr>
              <w:t>Mode of Dispatch</w:t>
            </w:r>
          </w:p>
        </w:tc>
        <w:tc>
          <w:tcPr>
            <w:tcW w:w="7791" w:type="dxa"/>
            <w:vAlign w:val="center"/>
          </w:tcPr>
          <w:p w:rsidR="002C590F" w:rsidRDefault="002C590F" w:rsidP="0093290B">
            <w:pPr>
              <w:jc w:val="both"/>
              <w:rPr>
                <w:rFonts w:ascii="Nirmala UI" w:hAnsi="Nirmala UI" w:cs="Nirmala UI"/>
                <w:color w:val="000000" w:themeColor="text1"/>
                <w:sz w:val="20"/>
              </w:rPr>
            </w:pPr>
            <w:r w:rsidRPr="0049629A">
              <w:rPr>
                <w:rFonts w:ascii="Nirmala UI" w:hAnsi="Nirmala UI" w:cs="Nirmala UI"/>
                <w:color w:val="000000" w:themeColor="text1"/>
                <w:sz w:val="20"/>
              </w:rPr>
              <w:t>By Road/Rail.</w:t>
            </w:r>
          </w:p>
          <w:p w:rsidR="00C92ACE" w:rsidRDefault="00C92ACE" w:rsidP="0093290B">
            <w:pPr>
              <w:jc w:val="both"/>
              <w:rPr>
                <w:rFonts w:ascii="Nirmala UI" w:hAnsi="Nirmala UI" w:cs="Nirmala UI"/>
                <w:color w:val="000000" w:themeColor="text1"/>
                <w:sz w:val="20"/>
              </w:rPr>
            </w:pPr>
          </w:p>
          <w:p w:rsidR="002C590F" w:rsidRPr="0049629A" w:rsidRDefault="002C590F" w:rsidP="0093290B">
            <w:pPr>
              <w:jc w:val="both"/>
              <w:rPr>
                <w:rFonts w:ascii="Nirmala UI" w:hAnsi="Nirmala UI" w:cs="Nirmala UI"/>
                <w:color w:val="000000" w:themeColor="text1"/>
                <w:sz w:val="20"/>
              </w:rPr>
            </w:pPr>
            <w:r w:rsidRPr="0049629A">
              <w:rPr>
                <w:rFonts w:ascii="Nirmala UI" w:hAnsi="Nirmala UI" w:cs="Nirmala UI"/>
                <w:color w:val="000000" w:themeColor="text1"/>
                <w:sz w:val="20"/>
              </w:rPr>
              <w:t xml:space="preserve">Note: It is Vendor's responsibility to ensure availability of Trucks/Trains schedule etc. well in advance for dispatch of material to meet contractual delivery requirement. </w:t>
            </w:r>
          </w:p>
          <w:p w:rsidR="002C590F" w:rsidRPr="0049629A" w:rsidRDefault="002C590F" w:rsidP="0093290B">
            <w:pPr>
              <w:jc w:val="both"/>
              <w:rPr>
                <w:rFonts w:ascii="Nirmala UI" w:hAnsi="Nirmala UI" w:cs="Nirmala UI"/>
                <w:color w:val="000000" w:themeColor="text1"/>
                <w:sz w:val="20"/>
              </w:rPr>
            </w:pPr>
            <w:r w:rsidRPr="0049629A">
              <w:rPr>
                <w:rFonts w:ascii="Nirmala UI" w:hAnsi="Nirmala UI" w:cs="Nirmala UI"/>
                <w:color w:val="000000" w:themeColor="text1"/>
                <w:sz w:val="20"/>
              </w:rPr>
              <w:t>It is also the vendor’s responsibility to ensure material is dispatched through shortest possible route.</w:t>
            </w:r>
          </w:p>
        </w:tc>
      </w:tr>
      <w:tr w:rsidR="00C53723" w:rsidRPr="0049629A" w:rsidTr="003361B2">
        <w:trPr>
          <w:trHeight w:val="313"/>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color w:val="000000" w:themeColor="text1"/>
                <w:sz w:val="20"/>
              </w:rPr>
            </w:pPr>
            <w:r w:rsidRPr="0049629A">
              <w:rPr>
                <w:rFonts w:ascii="Nirmala UI" w:hAnsi="Nirmala UI" w:cs="Nirmala UI"/>
                <w:color w:val="000000" w:themeColor="text1"/>
                <w:sz w:val="20"/>
              </w:rPr>
              <w:t>Transportation &amp; Freight Charges</w:t>
            </w:r>
          </w:p>
        </w:tc>
        <w:tc>
          <w:tcPr>
            <w:tcW w:w="7791" w:type="dxa"/>
            <w:vAlign w:val="center"/>
          </w:tcPr>
          <w:p w:rsidR="00C53723" w:rsidRDefault="00C53723" w:rsidP="00C53723">
            <w:pPr>
              <w:jc w:val="both"/>
              <w:rPr>
                <w:rFonts w:ascii="Nirmala UI" w:hAnsi="Nirmala UI" w:cs="Nirmala UI"/>
                <w:color w:val="000000" w:themeColor="text1"/>
                <w:sz w:val="20"/>
              </w:rPr>
            </w:pPr>
            <w:r w:rsidRPr="0049629A">
              <w:rPr>
                <w:rFonts w:ascii="Nirmala UI" w:hAnsi="Nirmala UI" w:cs="Nirmala UI"/>
                <w:color w:val="000000" w:themeColor="text1"/>
                <w:sz w:val="20"/>
              </w:rPr>
              <w:t>All dispatches shall be on freight pre-paid basis.</w:t>
            </w:r>
          </w:p>
          <w:p w:rsidR="00C92ACE" w:rsidRDefault="00C92ACE" w:rsidP="00C53723">
            <w:pPr>
              <w:jc w:val="both"/>
              <w:rPr>
                <w:rFonts w:ascii="Nirmala UI" w:hAnsi="Nirmala UI" w:cs="Nirmala UI"/>
                <w:color w:val="000000" w:themeColor="text1"/>
                <w:sz w:val="20"/>
              </w:rPr>
            </w:pPr>
          </w:p>
          <w:p w:rsidR="00C53723" w:rsidRPr="0049629A" w:rsidRDefault="00C53723" w:rsidP="00C53723">
            <w:pPr>
              <w:jc w:val="both"/>
              <w:rPr>
                <w:rFonts w:ascii="Nirmala UI" w:hAnsi="Nirmala UI" w:cs="Nirmala UI"/>
                <w:color w:val="000000" w:themeColor="text1"/>
                <w:sz w:val="20"/>
              </w:rPr>
            </w:pPr>
            <w:r w:rsidRPr="0049629A">
              <w:rPr>
                <w:rFonts w:ascii="Nirmala UI" w:hAnsi="Nirmala UI" w:cs="Nirmala UI"/>
                <w:color w:val="000000" w:themeColor="text1"/>
                <w:sz w:val="20"/>
              </w:rPr>
              <w:t>For indigenous supplies, Road Permit/E-way bill, if required, to be arranged by S</w:t>
            </w:r>
            <w:r>
              <w:rPr>
                <w:rFonts w:ascii="Nirmala UI" w:hAnsi="Nirmala UI" w:cs="Nirmala UI"/>
                <w:color w:val="000000" w:themeColor="text1"/>
                <w:sz w:val="20"/>
              </w:rPr>
              <w:t>eller/Contractor</w:t>
            </w:r>
            <w:r w:rsidRPr="0049629A">
              <w:rPr>
                <w:rFonts w:ascii="Nirmala UI" w:hAnsi="Nirmala UI" w:cs="Nirmala UI"/>
                <w:color w:val="000000" w:themeColor="text1"/>
                <w:sz w:val="20"/>
              </w:rPr>
              <w:t>.</w:t>
            </w:r>
          </w:p>
        </w:tc>
      </w:tr>
      <w:tr w:rsidR="00C53723" w:rsidRPr="0049629A" w:rsidTr="003361B2">
        <w:trPr>
          <w:trHeight w:val="313"/>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color w:val="000000" w:themeColor="text1"/>
                <w:sz w:val="20"/>
              </w:rPr>
            </w:pPr>
            <w:r>
              <w:rPr>
                <w:rFonts w:ascii="Nirmala UI" w:hAnsi="Nirmala UI" w:cs="Nirmala UI"/>
                <w:color w:val="000000" w:themeColor="text1"/>
                <w:sz w:val="20"/>
              </w:rPr>
              <w:t>Transit Insurance</w:t>
            </w:r>
          </w:p>
        </w:tc>
        <w:tc>
          <w:tcPr>
            <w:tcW w:w="7791" w:type="dxa"/>
            <w:vAlign w:val="center"/>
          </w:tcPr>
          <w:p w:rsidR="00C53723" w:rsidRPr="0049629A" w:rsidRDefault="00C53723" w:rsidP="00C53723">
            <w:pPr>
              <w:jc w:val="both"/>
              <w:rPr>
                <w:rFonts w:ascii="Nirmala UI" w:hAnsi="Nirmala UI" w:cs="Nirmala UI"/>
                <w:sz w:val="20"/>
              </w:rPr>
            </w:pPr>
            <w:r w:rsidRPr="0049629A">
              <w:rPr>
                <w:rFonts w:ascii="Nirmala UI" w:hAnsi="Nirmala UI" w:cs="Nirmala UI"/>
                <w:sz w:val="20"/>
              </w:rPr>
              <w:t xml:space="preserve">In the scope of </w:t>
            </w:r>
            <w:r>
              <w:rPr>
                <w:rFonts w:ascii="Nirmala UI" w:hAnsi="Nirmala UI" w:cs="Nirmala UI"/>
                <w:sz w:val="20"/>
              </w:rPr>
              <w:t>Seller/Contractor</w:t>
            </w:r>
            <w:r w:rsidRPr="0049629A">
              <w:rPr>
                <w:rFonts w:ascii="Nirmala UI" w:hAnsi="Nirmala UI" w:cs="Nirmala UI"/>
                <w:sz w:val="20"/>
              </w:rPr>
              <w:t>.</w:t>
            </w:r>
          </w:p>
        </w:tc>
      </w:tr>
      <w:tr w:rsidR="00C53723" w:rsidRPr="0049629A" w:rsidTr="003361B2">
        <w:trPr>
          <w:trHeight w:val="5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Unloading at EPD Bengaluru</w:t>
            </w:r>
          </w:p>
        </w:tc>
        <w:tc>
          <w:tcPr>
            <w:tcW w:w="7791" w:type="dxa"/>
            <w:vAlign w:val="center"/>
          </w:tcPr>
          <w:p w:rsidR="00C53723" w:rsidRPr="0049629A" w:rsidRDefault="00C92ACE" w:rsidP="00C53723">
            <w:pPr>
              <w:jc w:val="both"/>
              <w:rPr>
                <w:rFonts w:ascii="Nirmala UI" w:hAnsi="Nirmala UI" w:cs="Nirmala UI"/>
                <w:sz w:val="20"/>
              </w:rPr>
            </w:pPr>
            <w:r w:rsidRPr="00C92ACE">
              <w:rPr>
                <w:rFonts w:ascii="Nirmala UI" w:hAnsi="Nirmala UI" w:cs="Nirmala UI"/>
                <w:sz w:val="20"/>
              </w:rPr>
              <w:t>In the scope of Purchaser.</w:t>
            </w:r>
          </w:p>
        </w:tc>
      </w:tr>
      <w:tr w:rsidR="00C53723" w:rsidRPr="0049629A" w:rsidTr="003361B2">
        <w:trPr>
          <w:trHeight w:val="5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color w:val="000000" w:themeColor="text1"/>
                <w:sz w:val="20"/>
              </w:rPr>
            </w:pPr>
            <w:r w:rsidRPr="0049629A">
              <w:rPr>
                <w:rFonts w:ascii="Nirmala UI" w:hAnsi="Nirmala UI" w:cs="Nirmala UI"/>
                <w:color w:val="000000" w:themeColor="text1"/>
                <w:sz w:val="20"/>
              </w:rPr>
              <w:t>Delivery Schedule</w:t>
            </w:r>
          </w:p>
        </w:tc>
        <w:tc>
          <w:tcPr>
            <w:tcW w:w="7791" w:type="dxa"/>
            <w:vAlign w:val="center"/>
          </w:tcPr>
          <w:p w:rsidR="00C53723" w:rsidRPr="0049629A" w:rsidRDefault="00C92ACE" w:rsidP="00C92ACE">
            <w:pPr>
              <w:jc w:val="both"/>
              <w:rPr>
                <w:rFonts w:ascii="Nirmala UI" w:hAnsi="Nirmala UI" w:cs="Nirmala UI"/>
                <w:color w:val="FF0000"/>
                <w:sz w:val="20"/>
              </w:rPr>
            </w:pPr>
            <w:r w:rsidRPr="00C92ACE">
              <w:rPr>
                <w:rFonts w:ascii="Nirmala UI" w:hAnsi="Nirmala UI" w:cs="Nirmala UI"/>
                <w:sz w:val="20"/>
              </w:rPr>
              <w:t>Delivery shall be be made within 20 days from the date of manufacturing clearance / purchase order issued by BHEL-EPD, Bengaluru.</w:t>
            </w:r>
          </w:p>
        </w:tc>
      </w:tr>
      <w:tr w:rsidR="00C53723" w:rsidRPr="0049629A" w:rsidTr="003361B2">
        <w:trPr>
          <w:trHeight w:val="5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Inspection, Acceptance &amp; Rejection.</w:t>
            </w:r>
          </w:p>
        </w:tc>
        <w:tc>
          <w:tcPr>
            <w:tcW w:w="7791" w:type="dxa"/>
            <w:vAlign w:val="center"/>
          </w:tcPr>
          <w:p w:rsidR="00C92ACE" w:rsidRPr="0049629A" w:rsidRDefault="00C53723" w:rsidP="00C53723">
            <w:pPr>
              <w:ind w:right="13"/>
              <w:jc w:val="both"/>
              <w:rPr>
                <w:rFonts w:ascii="Nirmala UI" w:hAnsi="Nirmala UI" w:cs="Nirmala UI"/>
                <w:sz w:val="20"/>
              </w:rPr>
            </w:pPr>
            <w:r w:rsidRPr="0049629A">
              <w:rPr>
                <w:rFonts w:ascii="Nirmala UI" w:hAnsi="Nirmala UI" w:cs="Nirmala UI"/>
                <w:sz w:val="20"/>
              </w:rPr>
              <w:t>Inspection &amp; acceptance of material shall be done at BHEL-EPD, Bengaluru. In case of rejection of material due to non-conformity, the same has to be replaced by the Seller/Contractor, free of cost.</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 xml:space="preserve">Payment Terms </w:t>
            </w:r>
          </w:p>
        </w:tc>
        <w:tc>
          <w:tcPr>
            <w:tcW w:w="7791" w:type="dxa"/>
            <w:vAlign w:val="center"/>
          </w:tcPr>
          <w:p w:rsidR="00C53723" w:rsidRPr="0049629A" w:rsidRDefault="00C53723" w:rsidP="00C53723">
            <w:pPr>
              <w:autoSpaceDE w:val="0"/>
              <w:autoSpaceDN w:val="0"/>
              <w:adjustRightInd w:val="0"/>
              <w:jc w:val="both"/>
              <w:rPr>
                <w:rFonts w:ascii="Nirmala UI" w:hAnsi="Nirmala UI" w:cs="Nirmala UI"/>
                <w:color w:val="000000" w:themeColor="text1"/>
                <w:sz w:val="20"/>
                <w:lang w:val="en-IN"/>
              </w:rPr>
            </w:pPr>
            <w:r w:rsidRPr="0049629A">
              <w:rPr>
                <w:rFonts w:ascii="Nirmala UI" w:hAnsi="Nirmala UI" w:cs="Nirmala UI"/>
                <w:color w:val="000000" w:themeColor="text1"/>
                <w:sz w:val="20"/>
                <w:lang w:val="en-IN"/>
              </w:rPr>
              <w:t xml:space="preserve">Hundred percent (100%) of basic price of the material supplied, as per PO, along with 100% taxes &amp; duties (as applicable) and freight charges, shall be payable, pro-rata, </w:t>
            </w:r>
            <w:r w:rsidRPr="0049629A">
              <w:rPr>
                <w:rFonts w:ascii="Nirmala UI" w:hAnsi="Nirmala UI" w:cs="Nirmala UI"/>
                <w:color w:val="000000" w:themeColor="text1"/>
                <w:sz w:val="20"/>
                <w:lang w:val="en-IN"/>
              </w:rPr>
              <w:lastRenderedPageBreak/>
              <w:t>within 45 days from the date of receipt of goods and receipt of complete documents</w:t>
            </w:r>
            <w:r>
              <w:rPr>
                <w:rFonts w:ascii="Nirmala UI" w:hAnsi="Nirmala UI" w:cs="Nirmala UI"/>
                <w:color w:val="000000" w:themeColor="text1"/>
                <w:sz w:val="20"/>
                <w:lang w:val="en-IN"/>
              </w:rPr>
              <w:t xml:space="preserve"> as per clause no 1</w:t>
            </w:r>
            <w:r w:rsidR="00017564">
              <w:rPr>
                <w:rFonts w:ascii="Nirmala UI" w:hAnsi="Nirmala UI" w:cs="Nirmala UI"/>
                <w:color w:val="000000" w:themeColor="text1"/>
                <w:sz w:val="20"/>
                <w:lang w:val="en-IN"/>
              </w:rPr>
              <w:t>6</w:t>
            </w:r>
            <w:r>
              <w:rPr>
                <w:rFonts w:ascii="Nirmala UI" w:hAnsi="Nirmala UI" w:cs="Nirmala UI"/>
                <w:color w:val="000000" w:themeColor="text1"/>
                <w:sz w:val="20"/>
                <w:lang w:val="en-IN"/>
              </w:rPr>
              <w:t xml:space="preserve"> of SCC</w:t>
            </w:r>
            <w:r w:rsidRPr="0049629A">
              <w:rPr>
                <w:rFonts w:ascii="Nirmala UI" w:hAnsi="Nirmala UI" w:cs="Nirmala UI"/>
                <w:color w:val="000000" w:themeColor="text1"/>
                <w:sz w:val="20"/>
                <w:lang w:val="en-IN"/>
              </w:rPr>
              <w:t>, subject to acceptance of materials.</w:t>
            </w:r>
          </w:p>
          <w:p w:rsidR="00C53723" w:rsidRPr="0049629A" w:rsidRDefault="00C53723" w:rsidP="00C53723">
            <w:pPr>
              <w:autoSpaceDE w:val="0"/>
              <w:autoSpaceDN w:val="0"/>
              <w:adjustRightInd w:val="0"/>
              <w:jc w:val="both"/>
              <w:rPr>
                <w:rFonts w:ascii="Nirmala UI" w:hAnsi="Nirmala UI" w:cs="Nirmala UI"/>
                <w:color w:val="000000" w:themeColor="text1"/>
                <w:sz w:val="20"/>
                <w:lang w:val="en-IN"/>
              </w:rPr>
            </w:pPr>
          </w:p>
          <w:p w:rsidR="00C53723" w:rsidRPr="0049629A" w:rsidRDefault="00C53723" w:rsidP="00C53723">
            <w:pPr>
              <w:autoSpaceDE w:val="0"/>
              <w:autoSpaceDN w:val="0"/>
              <w:adjustRightInd w:val="0"/>
              <w:jc w:val="both"/>
              <w:rPr>
                <w:rFonts w:ascii="Nirmala UI" w:hAnsi="Nirmala UI" w:cs="Nirmala UI"/>
                <w:color w:val="000000" w:themeColor="text1"/>
                <w:sz w:val="20"/>
                <w:lang w:val="en-IN"/>
              </w:rPr>
            </w:pPr>
            <w:r w:rsidRPr="0049629A">
              <w:rPr>
                <w:rFonts w:ascii="Nirmala UI" w:hAnsi="Nirmala UI" w:cs="Nirmala UI"/>
                <w:color w:val="000000" w:themeColor="text1"/>
                <w:sz w:val="20"/>
                <w:lang w:val="en-IN"/>
              </w:rPr>
              <w:t>GOI has amended GST Law - Section 51 of the CGST Act 2017 wherein Government Agencies (PSU) has to deduct 2% GST as TDS w.e.f. 1.10.2018. Accordingly 2% of basic value (Equivalent to 1% CGST + 1% SGST or 2% IGST/UTGST) will be deducted as TDS &amp; TDS certificate shall be issued by BHEL in line with the latest amendment in GST Law.</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sz w:val="20"/>
              </w:rPr>
            </w:pPr>
          </w:p>
        </w:tc>
        <w:tc>
          <w:tcPr>
            <w:tcW w:w="2557" w:type="dxa"/>
            <w:vAlign w:val="center"/>
          </w:tcPr>
          <w:p w:rsidR="00C53723" w:rsidRPr="0049629A" w:rsidRDefault="00C53723" w:rsidP="00C53723">
            <w:pPr>
              <w:rPr>
                <w:rFonts w:ascii="Nirmala UI" w:hAnsi="Nirmala UI" w:cs="Nirmala UI"/>
                <w:color w:val="000000" w:themeColor="text1"/>
                <w:sz w:val="20"/>
              </w:rPr>
            </w:pPr>
            <w:r>
              <w:rPr>
                <w:rFonts w:ascii="Nirmala UI" w:hAnsi="Nirmala UI" w:cs="Nirmala UI"/>
                <w:color w:val="000000" w:themeColor="text1"/>
                <w:sz w:val="20"/>
              </w:rPr>
              <w:t>Documents Required for Claiming Payments</w:t>
            </w:r>
          </w:p>
        </w:tc>
        <w:tc>
          <w:tcPr>
            <w:tcW w:w="7791" w:type="dxa"/>
            <w:vAlign w:val="center"/>
          </w:tcPr>
          <w:p w:rsidR="00C92ACE" w:rsidRPr="00C92ACE" w:rsidRDefault="00C92ACE" w:rsidP="00C92ACE">
            <w:pPr>
              <w:pStyle w:val="ListParagraph"/>
              <w:numPr>
                <w:ilvl w:val="0"/>
                <w:numId w:val="36"/>
              </w:numPr>
              <w:autoSpaceDE w:val="0"/>
              <w:autoSpaceDN w:val="0"/>
              <w:adjustRightInd w:val="0"/>
              <w:jc w:val="both"/>
              <w:rPr>
                <w:rFonts w:ascii="Nirmala UI" w:hAnsi="Nirmala UI" w:cs="Nirmala UI"/>
                <w:color w:val="000000" w:themeColor="text1"/>
                <w:sz w:val="20"/>
                <w:lang w:val="en-IN"/>
              </w:rPr>
            </w:pPr>
            <w:r w:rsidRPr="00C92ACE">
              <w:rPr>
                <w:rFonts w:ascii="Nirmala UI" w:hAnsi="Nirmala UI" w:cs="Nirmala UI"/>
                <w:color w:val="000000" w:themeColor="text1"/>
                <w:sz w:val="20"/>
                <w:lang w:val="en-IN"/>
              </w:rPr>
              <w:t>Original GST complaint Invoice (Original for Buyer + 3 Copies).</w:t>
            </w:r>
          </w:p>
          <w:p w:rsidR="00C53723" w:rsidRPr="00C92ACE" w:rsidRDefault="00C92ACE" w:rsidP="00C53723">
            <w:pPr>
              <w:pStyle w:val="ListParagraph"/>
              <w:numPr>
                <w:ilvl w:val="0"/>
                <w:numId w:val="36"/>
              </w:numPr>
              <w:autoSpaceDE w:val="0"/>
              <w:autoSpaceDN w:val="0"/>
              <w:adjustRightInd w:val="0"/>
              <w:jc w:val="both"/>
              <w:rPr>
                <w:rFonts w:ascii="Nirmala UI" w:hAnsi="Nirmala UI" w:cs="Nirmala UI"/>
                <w:color w:val="000000" w:themeColor="text1"/>
                <w:sz w:val="20"/>
                <w:lang w:val="en-IN"/>
              </w:rPr>
            </w:pPr>
            <w:r w:rsidRPr="00C92ACE">
              <w:rPr>
                <w:rFonts w:ascii="Nirmala UI" w:hAnsi="Nirmala UI" w:cs="Nirmala UI"/>
                <w:color w:val="000000" w:themeColor="text1"/>
                <w:sz w:val="20"/>
                <w:lang w:val="en-IN"/>
              </w:rPr>
              <w:t>Delivery Challan / Consignee Copy of LR</w:t>
            </w:r>
            <w:r w:rsidR="00C53723" w:rsidRPr="00C92ACE">
              <w:rPr>
                <w:rFonts w:ascii="Nirmala UI" w:hAnsi="Nirmala UI" w:cs="Nirmala UI"/>
                <w:color w:val="000000" w:themeColor="text1"/>
                <w:sz w:val="20"/>
              </w:rPr>
              <w:t>.</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sz w:val="20"/>
              </w:rPr>
            </w:pPr>
          </w:p>
        </w:tc>
        <w:tc>
          <w:tcPr>
            <w:tcW w:w="2557" w:type="dxa"/>
            <w:vAlign w:val="center"/>
          </w:tcPr>
          <w:p w:rsidR="00C53723" w:rsidRPr="0049629A" w:rsidRDefault="00C53723" w:rsidP="00C53723">
            <w:pPr>
              <w:rPr>
                <w:rFonts w:ascii="Nirmala UI" w:hAnsi="Nirmala UI" w:cs="Nirmala UI"/>
                <w:bCs/>
                <w:color w:val="000000" w:themeColor="text1"/>
                <w:sz w:val="20"/>
              </w:rPr>
            </w:pPr>
            <w:r w:rsidRPr="0049629A">
              <w:rPr>
                <w:rFonts w:ascii="Nirmala UI" w:hAnsi="Nirmala UI" w:cs="Nirmala UI"/>
                <w:bCs/>
                <w:sz w:val="20"/>
              </w:rPr>
              <w:t>Taxes</w:t>
            </w:r>
          </w:p>
        </w:tc>
        <w:tc>
          <w:tcPr>
            <w:tcW w:w="7791" w:type="dxa"/>
            <w:vAlign w:val="center"/>
          </w:tcPr>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CGST/SGST/UTGST/IGST</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Seller/</w:t>
            </w:r>
            <w:r w:rsidRPr="00812990">
              <w:rPr>
                <w:rFonts w:ascii="Nirmala UI" w:hAnsi="Nirmala UI" w:cs="Nirmala UI"/>
                <w:color w:val="000000" w:themeColor="text1"/>
                <w:spacing w:val="-8"/>
                <w:sz w:val="20"/>
                <w:szCs w:val="20"/>
              </w:rPr>
              <w:t xml:space="preserve"> </w:t>
            </w:r>
            <w:r w:rsidRPr="00812990">
              <w:rPr>
                <w:rFonts w:ascii="Nirmala UI" w:hAnsi="Nirmala UI" w:cs="Nirmala UI"/>
                <w:color w:val="000000" w:themeColor="text1"/>
                <w:sz w:val="20"/>
                <w:szCs w:val="20"/>
              </w:rPr>
              <w:t>Contractor</w:t>
            </w:r>
            <w:r w:rsidRPr="00812990">
              <w:rPr>
                <w:rFonts w:ascii="Nirmala UI" w:hAnsi="Nirmala UI" w:cs="Nirmala UI"/>
                <w:color w:val="000000" w:themeColor="text1"/>
                <w:spacing w:val="-9"/>
                <w:sz w:val="20"/>
                <w:szCs w:val="20"/>
              </w:rPr>
              <w:t xml:space="preserve"> </w:t>
            </w:r>
            <w:r w:rsidRPr="00812990">
              <w:rPr>
                <w:rFonts w:ascii="Nirmala UI" w:hAnsi="Nirmala UI" w:cs="Nirmala UI"/>
                <w:color w:val="000000" w:themeColor="text1"/>
                <w:sz w:val="20"/>
                <w:szCs w:val="20"/>
              </w:rPr>
              <w:t>is</w:t>
            </w:r>
            <w:r w:rsidRPr="00812990">
              <w:rPr>
                <w:rFonts w:ascii="Nirmala UI" w:hAnsi="Nirmala UI" w:cs="Nirmala UI"/>
                <w:color w:val="000000" w:themeColor="text1"/>
                <w:spacing w:val="-9"/>
                <w:sz w:val="20"/>
                <w:szCs w:val="20"/>
              </w:rPr>
              <w:t xml:space="preserve"> </w:t>
            </w:r>
            <w:r w:rsidRPr="00812990">
              <w:rPr>
                <w:rFonts w:ascii="Nirmala UI" w:hAnsi="Nirmala UI" w:cs="Nirmala UI"/>
                <w:color w:val="000000" w:themeColor="text1"/>
                <w:sz w:val="20"/>
                <w:szCs w:val="20"/>
              </w:rPr>
              <w:t>required</w:t>
            </w:r>
            <w:r w:rsidRPr="00812990">
              <w:rPr>
                <w:rFonts w:ascii="Nirmala UI" w:hAnsi="Nirmala UI" w:cs="Nirmala UI"/>
                <w:color w:val="000000" w:themeColor="text1"/>
                <w:spacing w:val="-9"/>
                <w:sz w:val="20"/>
                <w:szCs w:val="20"/>
              </w:rPr>
              <w:t xml:space="preserve"> </w:t>
            </w:r>
            <w:r w:rsidRPr="00812990">
              <w:rPr>
                <w:rFonts w:ascii="Nirmala UI" w:hAnsi="Nirmala UI" w:cs="Nirmala UI"/>
                <w:color w:val="000000" w:themeColor="text1"/>
                <w:sz w:val="20"/>
                <w:szCs w:val="20"/>
              </w:rPr>
              <w:t>to</w:t>
            </w:r>
            <w:r w:rsidRPr="00812990">
              <w:rPr>
                <w:rFonts w:ascii="Nirmala UI" w:hAnsi="Nirmala UI" w:cs="Nirmala UI"/>
                <w:color w:val="000000" w:themeColor="text1"/>
                <w:spacing w:val="-7"/>
                <w:sz w:val="20"/>
                <w:szCs w:val="20"/>
              </w:rPr>
              <w:t xml:space="preserve"> </w:t>
            </w:r>
            <w:r w:rsidRPr="00812990">
              <w:rPr>
                <w:rFonts w:ascii="Nirmala UI" w:hAnsi="Nirmala UI" w:cs="Nirmala UI"/>
                <w:color w:val="000000" w:themeColor="text1"/>
                <w:sz w:val="20"/>
                <w:szCs w:val="20"/>
              </w:rPr>
              <w:t xml:space="preserve">ensure that </w:t>
            </w:r>
            <w:r w:rsidRPr="00812990">
              <w:rPr>
                <w:rFonts w:ascii="Nirmala UI" w:hAnsi="Nirmala UI" w:cs="Nirmala UI"/>
                <w:color w:val="000000" w:themeColor="text1"/>
                <w:spacing w:val="-1"/>
                <w:sz w:val="20"/>
                <w:szCs w:val="20"/>
              </w:rPr>
              <w:t xml:space="preserve">CGST/SGST/UTGST/IGST </w:t>
            </w:r>
            <w:r w:rsidRPr="00812990">
              <w:rPr>
                <w:rFonts w:ascii="Nirmala UI" w:hAnsi="Nirmala UI" w:cs="Nirmala UI"/>
                <w:color w:val="000000" w:themeColor="text1"/>
                <w:sz w:val="20"/>
                <w:szCs w:val="20"/>
              </w:rPr>
              <w:t>(whichever is applicable) is quoted as per</w:t>
            </w:r>
            <w:r w:rsidRPr="00812990">
              <w:rPr>
                <w:rFonts w:ascii="Nirmala UI" w:hAnsi="Nirmala UI" w:cs="Nirmala UI"/>
                <w:color w:val="000000" w:themeColor="text1"/>
                <w:spacing w:val="-7"/>
                <w:sz w:val="20"/>
                <w:szCs w:val="20"/>
              </w:rPr>
              <w:t xml:space="preserve"> </w:t>
            </w:r>
            <w:r w:rsidRPr="00812990">
              <w:rPr>
                <w:rFonts w:ascii="Nirmala UI" w:hAnsi="Nirmala UI" w:cs="Nirmala UI"/>
                <w:color w:val="000000" w:themeColor="text1"/>
                <w:sz w:val="20"/>
                <w:szCs w:val="20"/>
              </w:rPr>
              <w:t>the</w:t>
            </w:r>
            <w:r w:rsidRPr="00812990">
              <w:rPr>
                <w:rFonts w:ascii="Nirmala UI" w:hAnsi="Nirmala UI" w:cs="Nirmala UI"/>
                <w:color w:val="000000" w:themeColor="text1"/>
                <w:spacing w:val="-12"/>
                <w:sz w:val="20"/>
                <w:szCs w:val="20"/>
              </w:rPr>
              <w:t xml:space="preserve"> </w:t>
            </w:r>
            <w:r w:rsidRPr="00812990">
              <w:rPr>
                <w:rFonts w:ascii="Nirmala UI" w:hAnsi="Nirmala UI" w:cs="Nirmala UI"/>
                <w:color w:val="000000" w:themeColor="text1"/>
                <w:sz w:val="20"/>
                <w:szCs w:val="20"/>
              </w:rPr>
              <w:t>existing</w:t>
            </w:r>
            <w:r w:rsidRPr="00812990">
              <w:rPr>
                <w:rFonts w:ascii="Nirmala UI" w:hAnsi="Nirmala UI" w:cs="Nirmala UI"/>
                <w:color w:val="000000" w:themeColor="text1"/>
                <w:spacing w:val="-10"/>
                <w:sz w:val="20"/>
                <w:szCs w:val="20"/>
              </w:rPr>
              <w:t xml:space="preserve"> </w:t>
            </w:r>
            <w:r w:rsidRPr="00812990">
              <w:rPr>
                <w:rFonts w:ascii="Nirmala UI" w:hAnsi="Nirmala UI" w:cs="Nirmala UI"/>
                <w:color w:val="000000" w:themeColor="text1"/>
                <w:sz w:val="20"/>
                <w:szCs w:val="20"/>
              </w:rPr>
              <w:t>tariff</w:t>
            </w:r>
            <w:r w:rsidRPr="00812990">
              <w:rPr>
                <w:rFonts w:ascii="Nirmala UI" w:hAnsi="Nirmala UI" w:cs="Nirmala UI"/>
                <w:color w:val="000000" w:themeColor="text1"/>
                <w:spacing w:val="-10"/>
                <w:sz w:val="20"/>
                <w:szCs w:val="20"/>
              </w:rPr>
              <w:t xml:space="preserve"> </w:t>
            </w:r>
            <w:r w:rsidRPr="00812990">
              <w:rPr>
                <w:rFonts w:ascii="Nirmala UI" w:hAnsi="Nirmala UI" w:cs="Nirmala UI"/>
                <w:color w:val="000000" w:themeColor="text1"/>
                <w:sz w:val="20"/>
                <w:szCs w:val="20"/>
              </w:rPr>
              <w:t>on</w:t>
            </w:r>
            <w:r w:rsidRPr="00812990">
              <w:rPr>
                <w:rFonts w:ascii="Nirmala UI" w:hAnsi="Nirmala UI" w:cs="Nirmala UI"/>
                <w:color w:val="000000" w:themeColor="text1"/>
                <w:spacing w:val="-10"/>
                <w:sz w:val="20"/>
                <w:szCs w:val="20"/>
              </w:rPr>
              <w:t xml:space="preserve"> </w:t>
            </w:r>
            <w:r w:rsidRPr="00812990">
              <w:rPr>
                <w:rFonts w:ascii="Nirmala UI" w:hAnsi="Nirmala UI" w:cs="Nirmala UI"/>
                <w:color w:val="000000" w:themeColor="text1"/>
                <w:sz w:val="20"/>
                <w:szCs w:val="20"/>
              </w:rPr>
              <w:t>the</w:t>
            </w:r>
            <w:r w:rsidRPr="00812990">
              <w:rPr>
                <w:rFonts w:ascii="Nirmala UI" w:hAnsi="Nirmala UI" w:cs="Nirmala UI"/>
                <w:color w:val="000000" w:themeColor="text1"/>
                <w:spacing w:val="-6"/>
                <w:sz w:val="20"/>
                <w:szCs w:val="20"/>
              </w:rPr>
              <w:t xml:space="preserve"> </w:t>
            </w:r>
            <w:r w:rsidRPr="00812990">
              <w:rPr>
                <w:rFonts w:ascii="Nirmala UI" w:hAnsi="Nirmala UI" w:cs="Nirmala UI"/>
                <w:color w:val="000000" w:themeColor="text1"/>
                <w:sz w:val="20"/>
                <w:szCs w:val="20"/>
              </w:rPr>
              <w:t>date</w:t>
            </w:r>
            <w:r w:rsidRPr="00812990">
              <w:rPr>
                <w:rFonts w:ascii="Nirmala UI" w:hAnsi="Nirmala UI" w:cs="Nirmala UI"/>
                <w:color w:val="000000" w:themeColor="text1"/>
                <w:spacing w:val="-9"/>
                <w:sz w:val="20"/>
                <w:szCs w:val="20"/>
              </w:rPr>
              <w:t xml:space="preserve"> </w:t>
            </w:r>
            <w:r w:rsidRPr="00812990">
              <w:rPr>
                <w:rFonts w:ascii="Nirmala UI" w:hAnsi="Nirmala UI" w:cs="Nirmala UI"/>
                <w:color w:val="000000" w:themeColor="text1"/>
                <w:sz w:val="20"/>
                <w:szCs w:val="20"/>
              </w:rPr>
              <w:t>of</w:t>
            </w:r>
            <w:r w:rsidRPr="00812990">
              <w:rPr>
                <w:rFonts w:ascii="Nirmala UI" w:hAnsi="Nirmala UI" w:cs="Nirmala UI"/>
                <w:color w:val="000000" w:themeColor="text1"/>
                <w:spacing w:val="-10"/>
                <w:sz w:val="20"/>
                <w:szCs w:val="20"/>
              </w:rPr>
              <w:t xml:space="preserve"> </w:t>
            </w:r>
            <w:r w:rsidRPr="00812990">
              <w:rPr>
                <w:rFonts w:ascii="Nirmala UI" w:hAnsi="Nirmala UI" w:cs="Nirmala UI"/>
                <w:color w:val="000000" w:themeColor="text1"/>
                <w:sz w:val="20"/>
                <w:szCs w:val="20"/>
              </w:rPr>
              <w:t>the offer and all benefits as per existing laws have been considered.</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It is the responsibility of the seller/contractor to issue the Tax Invoice strictly as per the format prescribed under the relevant applicable GST law (CGST Act/SGST Act/UTGST Act/IGST Act). Vendor to indicate the proper GSTN Registration/ HSN code in their tax invoice.</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The purchaser is registered in the State of Karnataka vide following GST registration number: 29AAACB4146P1ZB.</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Seller/contractor is required to mention the above registration number in their tax invoice unless stated otherwise in NIT/SCC.</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CGST/SGST/UTGST/IGST shall be paid at actuals against Tax Invoice but restricted to the amount and percentage in the order/contract.</w:t>
            </w:r>
          </w:p>
          <w:p w:rsidR="00C53723" w:rsidRPr="00812990" w:rsidRDefault="00C53723" w:rsidP="00C53723">
            <w:pPr>
              <w:pStyle w:val="TableParagraph"/>
              <w:tabs>
                <w:tab w:val="left" w:pos="317"/>
              </w:tabs>
              <w:ind w:left="0"/>
              <w:jc w:val="both"/>
              <w:rPr>
                <w:rFonts w:ascii="Nirmala UI" w:eastAsiaTheme="minorEastAsia" w:hAnsi="Nirmala UI" w:cs="Nirmala UI"/>
                <w:sz w:val="20"/>
                <w:szCs w:val="20"/>
                <w:lang w:bidi="hi-IN"/>
              </w:rPr>
            </w:pPr>
          </w:p>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Other Taxes &amp; Levies</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All taxes/duties/Cess other than CGST/SGST/UTGST/IGST shall be deemed to be included in the Ex-Works prices unless specified otherwise by the bidder in the price bid. No variation in other taxes and duties shall be payable by Purchaser. Antidumping duty, if any, shall be in the account of bidder and shall be included in their price. No separate payment shall be made by BHEL for the same.</w:t>
            </w:r>
          </w:p>
          <w:p w:rsidR="00C53723" w:rsidRPr="00812990" w:rsidRDefault="00C53723" w:rsidP="00C53723">
            <w:pPr>
              <w:rPr>
                <w:rFonts w:ascii="Nirmala UI" w:hAnsi="Nirmala UI" w:cs="Nirmala UI"/>
                <w:sz w:val="20"/>
              </w:rPr>
            </w:pPr>
          </w:p>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Customs Duty</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Customs Duty/IGST/Goods and Services compensation cess under Goods and Services Tax (Compensation to States) Act, 2017 element for imported items as per Special Conditions of Contract shall be included in the Ex-Works prices.</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Seller/ Contractor shall arrange for his own import license, if required, since Purchaser will not provide any import license. Therefore, Seller/ Contractor alone shall be responsible for any delay in getting import license or non-availability of the same or completion of other related formalities. Purchaser shall not be responsible for any financial liability, whatsoever, on this account.</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 part of Price bid.</w:t>
            </w:r>
          </w:p>
          <w:p w:rsidR="00C53723" w:rsidRPr="00812990" w:rsidRDefault="00C53723" w:rsidP="00C53723">
            <w:pPr>
              <w:rPr>
                <w:rFonts w:ascii="Nirmala UI" w:hAnsi="Nirmala UI" w:cs="Nirmala UI"/>
                <w:sz w:val="20"/>
              </w:rPr>
            </w:pPr>
          </w:p>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Direct Taxes</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 xml:space="preserve">Purchaser shall not be liable towards income tax of whatever nature including variations thereof, arising out of this Order/ Contract, as well as tax liability of the </w:t>
            </w:r>
            <w:r w:rsidRPr="00812990">
              <w:rPr>
                <w:rFonts w:ascii="Nirmala UI" w:hAnsi="Nirmala UI" w:cs="Nirmala UI"/>
                <w:color w:val="000000" w:themeColor="text1"/>
                <w:sz w:val="20"/>
                <w:szCs w:val="20"/>
              </w:rPr>
              <w:lastRenderedPageBreak/>
              <w:t>Seller/ Contractor and his personnel.</w:t>
            </w:r>
          </w:p>
          <w:p w:rsidR="00C53723" w:rsidRPr="00812990" w:rsidRDefault="00C53723" w:rsidP="00C53723">
            <w:pPr>
              <w:pStyle w:val="TableParagraph"/>
              <w:numPr>
                <w:ilvl w:val="2"/>
                <w:numId w:val="33"/>
              </w:numPr>
              <w:tabs>
                <w:tab w:val="left" w:pos="454"/>
                <w:tab w:val="left" w:pos="2138"/>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Deductions of Tax at source at the prevailing rates shall be effected by the Purchaser before release of payment, as a statutory obligation, if applicable. TDS certificate will be issued by the Purchaser as per statutory provisions.</w:t>
            </w:r>
          </w:p>
          <w:p w:rsidR="00C53723" w:rsidRPr="00812990" w:rsidRDefault="00C53723" w:rsidP="00C53723">
            <w:pPr>
              <w:rPr>
                <w:rFonts w:ascii="Nirmala UI" w:hAnsi="Nirmala UI" w:cs="Nirmala UI"/>
                <w:sz w:val="20"/>
              </w:rPr>
            </w:pPr>
          </w:p>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Statutory Variation</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Statutory variation for CGST/SGST/UGST/IGST is available provided the actual completion of supply does not occur beyond the period stipulated in the order/contract or any extension (without levy of penalty).</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No other variations such as on Custom Duty, exchange rate, minimum wages, prices of controlled commodities, any other input etc. shall be payable by the purchaser.</w:t>
            </w:r>
          </w:p>
          <w:p w:rsidR="00C53723" w:rsidRPr="00812990" w:rsidRDefault="00C53723" w:rsidP="00C53723">
            <w:pPr>
              <w:rPr>
                <w:rFonts w:ascii="Nirmala UI" w:hAnsi="Nirmala UI" w:cs="Nirmala UI"/>
                <w:sz w:val="20"/>
              </w:rPr>
            </w:pPr>
          </w:p>
          <w:p w:rsidR="00C53723" w:rsidRPr="00812990" w:rsidRDefault="00C53723" w:rsidP="00C53723">
            <w:pPr>
              <w:pStyle w:val="TableParagraph"/>
              <w:tabs>
                <w:tab w:val="left" w:pos="317"/>
              </w:tabs>
              <w:ind w:left="0"/>
              <w:jc w:val="both"/>
              <w:rPr>
                <w:rFonts w:ascii="Nirmala UI" w:hAnsi="Nirmala UI" w:cs="Nirmala UI"/>
                <w:b/>
                <w:bCs/>
                <w:color w:val="000000" w:themeColor="text1"/>
                <w:sz w:val="20"/>
                <w:szCs w:val="20"/>
              </w:rPr>
            </w:pPr>
            <w:r w:rsidRPr="00812990">
              <w:rPr>
                <w:rFonts w:ascii="Nirmala UI" w:hAnsi="Nirmala UI" w:cs="Nirmala UI"/>
                <w:b/>
                <w:bCs/>
                <w:color w:val="000000" w:themeColor="text1"/>
                <w:sz w:val="20"/>
                <w:szCs w:val="20"/>
              </w:rPr>
              <w:t>Other Clauses</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Vendor/Supplier will intimate &amp; upload the Tax invoice along with LR/RR (as applicable) on web portal &amp; intimate BHEL immediately on removal of goods from vendor/</w:t>
            </w:r>
            <w:r w:rsidR="003854C9">
              <w:rPr>
                <w:rFonts w:ascii="Nirmala UI" w:hAnsi="Nirmala UI" w:cs="Nirmala UI"/>
                <w:color w:val="000000" w:themeColor="text1"/>
                <w:sz w:val="20"/>
                <w:szCs w:val="20"/>
              </w:rPr>
              <w:t>S</w:t>
            </w:r>
            <w:r w:rsidRPr="00812990">
              <w:rPr>
                <w:rFonts w:ascii="Nirmala UI" w:hAnsi="Nirmala UI" w:cs="Nirmala UI"/>
                <w:color w:val="000000" w:themeColor="text1"/>
                <w:sz w:val="20"/>
                <w:szCs w:val="20"/>
              </w:rPr>
              <w:t>upplier works. In case of Services, Vendor is required to upload the Tax invoice on Web Portal immediately after raising the invoice. BHEL will issue the delivery order/instruction to dispatch the material to the customer as indicated in SCC.</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All payments against Tax Invoice to vendors/contractors shall be released only after:</w:t>
            </w:r>
          </w:p>
          <w:p w:rsidR="00C53723" w:rsidRPr="00812990" w:rsidRDefault="00C53723" w:rsidP="00C53723">
            <w:pPr>
              <w:pStyle w:val="TableParagraph"/>
              <w:numPr>
                <w:ilvl w:val="0"/>
                <w:numId w:val="5"/>
              </w:numPr>
              <w:tabs>
                <w:tab w:val="left" w:pos="828"/>
              </w:tabs>
              <w:ind w:left="814" w:right="95"/>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Vendor/contractor declaring such invoice in GSTR-1 within the</w:t>
            </w:r>
            <w:r w:rsidRPr="00812990">
              <w:rPr>
                <w:rFonts w:ascii="Nirmala UI" w:hAnsi="Nirmala UI" w:cs="Nirmala UI"/>
                <w:color w:val="000000" w:themeColor="text1"/>
                <w:spacing w:val="-37"/>
                <w:sz w:val="20"/>
                <w:szCs w:val="20"/>
              </w:rPr>
              <w:t xml:space="preserve"> </w:t>
            </w:r>
            <w:r w:rsidRPr="00812990">
              <w:rPr>
                <w:rFonts w:ascii="Nirmala UI" w:hAnsi="Nirmala UI" w:cs="Nirmala UI"/>
                <w:color w:val="000000" w:themeColor="text1"/>
                <w:sz w:val="20"/>
                <w:szCs w:val="20"/>
              </w:rPr>
              <w:t>prescribed timeline as per the relevant</w:t>
            </w:r>
            <w:r w:rsidRPr="00812990">
              <w:rPr>
                <w:rFonts w:ascii="Nirmala UI" w:hAnsi="Nirmala UI" w:cs="Nirmala UI"/>
                <w:color w:val="000000" w:themeColor="text1"/>
                <w:spacing w:val="-3"/>
                <w:sz w:val="20"/>
                <w:szCs w:val="20"/>
              </w:rPr>
              <w:t xml:space="preserve"> </w:t>
            </w:r>
            <w:r w:rsidRPr="00812990">
              <w:rPr>
                <w:rFonts w:ascii="Nirmala UI" w:hAnsi="Nirmala UI" w:cs="Nirmala UI"/>
                <w:color w:val="000000" w:themeColor="text1"/>
                <w:sz w:val="20"/>
                <w:szCs w:val="20"/>
              </w:rPr>
              <w:t>Act.</w:t>
            </w:r>
          </w:p>
          <w:p w:rsidR="00C53723" w:rsidRPr="00812990" w:rsidRDefault="00C53723" w:rsidP="00C53723">
            <w:pPr>
              <w:pStyle w:val="TableParagraph"/>
              <w:numPr>
                <w:ilvl w:val="0"/>
                <w:numId w:val="5"/>
              </w:numPr>
              <w:tabs>
                <w:tab w:val="left" w:pos="828"/>
              </w:tabs>
              <w:ind w:left="814" w:right="98"/>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The tax component charged by the vendor in the invoice should be matched with the details uploaded by vendor in</w:t>
            </w:r>
            <w:r w:rsidRPr="00812990">
              <w:rPr>
                <w:rFonts w:ascii="Nirmala UI" w:hAnsi="Nirmala UI" w:cs="Nirmala UI"/>
                <w:color w:val="000000" w:themeColor="text1"/>
                <w:spacing w:val="-4"/>
                <w:sz w:val="20"/>
                <w:szCs w:val="20"/>
              </w:rPr>
              <w:t xml:space="preserve"> </w:t>
            </w:r>
            <w:r w:rsidRPr="00812990">
              <w:rPr>
                <w:rFonts w:ascii="Nirmala UI" w:hAnsi="Nirmala UI" w:cs="Nirmala UI"/>
                <w:color w:val="000000" w:themeColor="text1"/>
                <w:sz w:val="20"/>
                <w:szCs w:val="20"/>
              </w:rPr>
              <w:t>GSTR-1.</w:t>
            </w:r>
          </w:p>
          <w:p w:rsidR="00C53723" w:rsidRPr="00812990" w:rsidRDefault="00C53723" w:rsidP="00C53723">
            <w:pPr>
              <w:pStyle w:val="TableParagraph"/>
              <w:numPr>
                <w:ilvl w:val="0"/>
                <w:numId w:val="5"/>
              </w:numPr>
              <w:tabs>
                <w:tab w:val="left" w:pos="828"/>
              </w:tabs>
              <w:ind w:left="814" w:right="100"/>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Confirmation of payment of GST thereon by vendor on GSTN</w:t>
            </w:r>
            <w:r w:rsidRPr="00812990">
              <w:rPr>
                <w:rFonts w:ascii="Nirmala UI" w:hAnsi="Nirmala UI" w:cs="Nirmala UI"/>
                <w:color w:val="000000" w:themeColor="text1"/>
                <w:spacing w:val="-7"/>
                <w:sz w:val="20"/>
                <w:szCs w:val="20"/>
              </w:rPr>
              <w:t xml:space="preserve"> </w:t>
            </w:r>
            <w:r w:rsidRPr="00812990">
              <w:rPr>
                <w:rFonts w:ascii="Nirmala UI" w:hAnsi="Nirmala UI" w:cs="Nirmala UI"/>
                <w:color w:val="000000" w:themeColor="text1"/>
                <w:sz w:val="20"/>
                <w:szCs w:val="20"/>
              </w:rPr>
              <w:t>portal</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 xml:space="preserve">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 BHEL. </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Wherein GST liability arises on BHEL under reverse charge, any interest levied/leviable due to any reasons not attributable to BHEL shall be recovered from the vendor/contractor.</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In case of discrepancy in CGST/SGST/UTGST/IGST rate corresponding to HSN; code and quotes rates, the evaluation shall be done on quoted price and correct CGST/SGST/UTGST/IGST rate shall be considered for ordering ( limited to quoted FOR Site Price)</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The bidder should have been registered with the appropriate authority under relevant GST laws.</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The bidder to specify in their offer ( part 1 bid) the category of registration under GST  i.e. registered dealer and composite dealer</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lastRenderedPageBreak/>
              <w:t>No CGST/SGST/UTGST/IGST will be reimbursed to composite dealer. In the event of any GST quoted by composite dealer, the same shall be considered for evaluation purpose. However, the ordering will be done without considering the tax.</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p w:rsidR="00C53723" w:rsidRPr="00812990" w:rsidRDefault="00C53723" w:rsidP="00C53723">
            <w:pPr>
              <w:pStyle w:val="TableParagraph"/>
              <w:numPr>
                <w:ilvl w:val="2"/>
                <w:numId w:val="33"/>
              </w:numPr>
              <w:tabs>
                <w:tab w:val="left" w:pos="454"/>
                <w:tab w:val="left" w:pos="2143"/>
              </w:tabs>
              <w:ind w:left="454" w:right="96" w:hanging="347"/>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Delivery Challans &amp; Invoices /Service Entry Sheet in the format as specified under GST laws mentioning your GSTIN No, item HSN/SAC No should accompany supply.</w:t>
            </w:r>
          </w:p>
          <w:p w:rsidR="00C53723" w:rsidRPr="00812990" w:rsidRDefault="00C53723" w:rsidP="00C53723">
            <w:pPr>
              <w:pStyle w:val="TableParagraph"/>
              <w:numPr>
                <w:ilvl w:val="0"/>
                <w:numId w:val="34"/>
              </w:numPr>
              <w:tabs>
                <w:tab w:val="left" w:pos="828"/>
              </w:tabs>
              <w:ind w:right="95"/>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GST portion of invoice shall be released only upon vendor declaring such invoice in his GSTR-1 return and receipt of goods/services and tax and confirmation of payment of GST thereon by vendor on GSTN Portal.</w:t>
            </w:r>
          </w:p>
          <w:p w:rsidR="00C53723" w:rsidRPr="00812990" w:rsidRDefault="00C53723" w:rsidP="00C53723">
            <w:pPr>
              <w:pStyle w:val="TableParagraph"/>
              <w:numPr>
                <w:ilvl w:val="0"/>
                <w:numId w:val="34"/>
              </w:numPr>
              <w:tabs>
                <w:tab w:val="left" w:pos="828"/>
              </w:tabs>
              <w:ind w:right="95"/>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Bank Guarantee of appropriate value may be obtained from vendor which shall be valid at least one month after the confirmation of payment date by vendor on GST portal and receipt of Tax invoice and receipt of goods, whichever is later. [If (a) above could not be complied].</w:t>
            </w:r>
          </w:p>
          <w:p w:rsidR="00C53723" w:rsidRPr="00812990" w:rsidRDefault="00C53723" w:rsidP="00C53723">
            <w:pPr>
              <w:pStyle w:val="TableParagraph"/>
              <w:numPr>
                <w:ilvl w:val="0"/>
                <w:numId w:val="34"/>
              </w:numPr>
              <w:tabs>
                <w:tab w:val="left" w:pos="828"/>
              </w:tabs>
              <w:ind w:right="95"/>
              <w:jc w:val="both"/>
              <w:rPr>
                <w:rFonts w:ascii="Nirmala UI" w:hAnsi="Nirmala UI" w:cs="Nirmala UI"/>
                <w:color w:val="000000" w:themeColor="text1"/>
                <w:sz w:val="20"/>
                <w:szCs w:val="20"/>
              </w:rPr>
            </w:pPr>
            <w:r w:rsidRPr="00812990">
              <w:rPr>
                <w:rFonts w:ascii="Nirmala UI" w:hAnsi="Nirmala UI" w:cs="Nirmala UI"/>
                <w:color w:val="000000" w:themeColor="text1"/>
                <w:sz w:val="20"/>
                <w:szCs w:val="20"/>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levied/BG of appropriate value may be obtained from vendor alternatively payment covering GST portion including interest thereon shall be release to vendor only upon completion of these requirements.</w:t>
            </w:r>
          </w:p>
          <w:p w:rsidR="004C1991" w:rsidRDefault="004C1991" w:rsidP="00C53723">
            <w:pPr>
              <w:jc w:val="both"/>
              <w:rPr>
                <w:rFonts w:ascii="Nirmala UI" w:hAnsi="Nirmala UI" w:cs="Nirmala UI"/>
                <w:color w:val="000000" w:themeColor="text1"/>
                <w:sz w:val="20"/>
              </w:rPr>
            </w:pPr>
          </w:p>
          <w:p w:rsidR="00C53723" w:rsidRPr="0049629A" w:rsidRDefault="00C53723" w:rsidP="00C53723">
            <w:pPr>
              <w:jc w:val="both"/>
              <w:rPr>
                <w:rFonts w:ascii="Nirmala UI" w:hAnsi="Nirmala UI" w:cs="Nirmala UI"/>
                <w:color w:val="000000" w:themeColor="text1"/>
                <w:sz w:val="20"/>
                <w:highlight w:val="yellow"/>
              </w:rPr>
            </w:pPr>
            <w:r w:rsidRPr="00812990">
              <w:rPr>
                <w:rFonts w:ascii="Nirmala UI" w:hAnsi="Nirmala UI" w:cs="Nirmala UI"/>
                <w:color w:val="000000" w:themeColor="text1"/>
                <w:sz w:val="20"/>
              </w:rPr>
              <w:t>In case vendor delays declaring such invoice in his return &amp; GST credit by BHEL is denied or reversed subsequently as per GST law, GST amount paid by BHEL towards such ITC reversal as per GST Law shall be recoverable from vendor/contractor along with interest levied/leviable to be obtained from vendor alternatively payment covering GST portion including interest thereon shall be released to vendor only upon completion of these requirements.</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Liquidate Damages</w:t>
            </w:r>
          </w:p>
        </w:tc>
        <w:tc>
          <w:tcPr>
            <w:tcW w:w="7791" w:type="dxa"/>
            <w:vAlign w:val="center"/>
          </w:tcPr>
          <w:p w:rsidR="00C53723" w:rsidRPr="0049629A" w:rsidRDefault="00C53723" w:rsidP="00C53723">
            <w:pPr>
              <w:ind w:right="13"/>
              <w:jc w:val="both"/>
              <w:rPr>
                <w:rFonts w:ascii="Nirmala UI" w:hAnsi="Nirmala UI" w:cs="Nirmala UI"/>
                <w:sz w:val="20"/>
              </w:rPr>
            </w:pPr>
            <w:r w:rsidRPr="0049629A">
              <w:rPr>
                <w:rFonts w:ascii="Nirmala UI" w:hAnsi="Nirmala UI" w:cs="Nirmala UI"/>
                <w:sz w:val="20"/>
              </w:rPr>
              <w:t>Subject to Force Majeure conditions, Purchaser reserves the right to recover from the Seller/Contractor, as agreed liquidated damages and not by way of penalty, a sum equivalent to half (½) percent of the total contract price per week or part thereof, subject to a maximum of ten (10) percent of the total contract price excluding elements of taxes, duties and freight, if the Seller/ Contractor fails to deliver ordered stores within the period stipulated in the Order/Contract.</w:t>
            </w:r>
          </w:p>
        </w:tc>
      </w:tr>
      <w:tr w:rsidR="00C92ACE" w:rsidRPr="0049629A" w:rsidTr="003361B2">
        <w:trPr>
          <w:trHeight w:val="392"/>
        </w:trPr>
        <w:tc>
          <w:tcPr>
            <w:tcW w:w="562" w:type="dxa"/>
            <w:vAlign w:val="center"/>
          </w:tcPr>
          <w:p w:rsidR="00C92ACE" w:rsidRPr="0049629A" w:rsidRDefault="00C92ACE" w:rsidP="00C92ACE">
            <w:pPr>
              <w:pStyle w:val="ListParagraph"/>
              <w:numPr>
                <w:ilvl w:val="0"/>
                <w:numId w:val="1"/>
              </w:numPr>
              <w:ind w:left="0" w:firstLine="0"/>
              <w:jc w:val="both"/>
              <w:rPr>
                <w:rFonts w:ascii="Nirmala UI" w:hAnsi="Nirmala UI" w:cs="Nirmala UI"/>
                <w:sz w:val="20"/>
              </w:rPr>
            </w:pPr>
          </w:p>
        </w:tc>
        <w:tc>
          <w:tcPr>
            <w:tcW w:w="2557" w:type="dxa"/>
            <w:vAlign w:val="center"/>
          </w:tcPr>
          <w:p w:rsidR="00C92ACE" w:rsidRPr="00A944F3" w:rsidRDefault="00C92ACE" w:rsidP="00C92ACE">
            <w:pPr>
              <w:rPr>
                <w:rFonts w:ascii="Nirmala UI" w:hAnsi="Nirmala UI" w:cs="Nirmala UI"/>
                <w:sz w:val="18"/>
                <w:szCs w:val="18"/>
              </w:rPr>
            </w:pPr>
            <w:r w:rsidRPr="00A944F3">
              <w:rPr>
                <w:rFonts w:ascii="Nirmala UI" w:hAnsi="Nirmala UI" w:cs="Nirmala UI"/>
                <w:sz w:val="18"/>
                <w:szCs w:val="18"/>
              </w:rPr>
              <w:t>Quantity Variation</w:t>
            </w:r>
          </w:p>
        </w:tc>
        <w:tc>
          <w:tcPr>
            <w:tcW w:w="7791" w:type="dxa"/>
            <w:vAlign w:val="center"/>
          </w:tcPr>
          <w:p w:rsidR="00C92ACE" w:rsidRPr="00A944F3" w:rsidRDefault="00C92ACE" w:rsidP="00C92ACE">
            <w:pPr>
              <w:jc w:val="both"/>
              <w:rPr>
                <w:rFonts w:ascii="Nirmala UI" w:hAnsi="Nirmala UI" w:cs="Nirmala UI"/>
                <w:sz w:val="18"/>
                <w:szCs w:val="18"/>
              </w:rPr>
            </w:pPr>
            <w:r w:rsidRPr="00C92ACE">
              <w:rPr>
                <w:rFonts w:ascii="Nirmala UI" w:hAnsi="Nirmala UI" w:cs="Nirmala UI"/>
                <w:sz w:val="20"/>
              </w:rPr>
              <w:t>Applicable. Upto +/-30% of the Quantity mentioned in the Price Bid Format.</w:t>
            </w:r>
          </w:p>
        </w:tc>
      </w:tr>
      <w:tr w:rsidR="00E357A7" w:rsidRPr="0049629A" w:rsidTr="003361B2">
        <w:trPr>
          <w:trHeight w:val="392"/>
        </w:trPr>
        <w:tc>
          <w:tcPr>
            <w:tcW w:w="562" w:type="dxa"/>
            <w:vAlign w:val="center"/>
          </w:tcPr>
          <w:p w:rsidR="00E357A7" w:rsidRPr="0049629A" w:rsidRDefault="00E357A7" w:rsidP="00E357A7">
            <w:pPr>
              <w:pStyle w:val="ListParagraph"/>
              <w:numPr>
                <w:ilvl w:val="0"/>
                <w:numId w:val="1"/>
              </w:numPr>
              <w:ind w:left="0" w:firstLine="0"/>
              <w:jc w:val="both"/>
              <w:rPr>
                <w:rFonts w:ascii="Nirmala UI" w:hAnsi="Nirmala UI" w:cs="Nirmala UI"/>
                <w:sz w:val="20"/>
              </w:rPr>
            </w:pPr>
          </w:p>
        </w:tc>
        <w:tc>
          <w:tcPr>
            <w:tcW w:w="2557" w:type="dxa"/>
          </w:tcPr>
          <w:p w:rsidR="00E357A7" w:rsidRPr="00E357A7" w:rsidRDefault="00E357A7" w:rsidP="00E357A7">
            <w:pPr>
              <w:rPr>
                <w:rFonts w:ascii="Nirmala UI" w:hAnsi="Nirmala UI" w:cs="Nirmala UI"/>
                <w:sz w:val="20"/>
              </w:rPr>
            </w:pPr>
            <w:r w:rsidRPr="00E357A7">
              <w:rPr>
                <w:rFonts w:ascii="Nirmala UI" w:hAnsi="Nirmala UI" w:cs="Nirmala UI"/>
                <w:sz w:val="20"/>
              </w:rPr>
              <w:t>Bank Guarantee</w:t>
            </w:r>
          </w:p>
        </w:tc>
        <w:tc>
          <w:tcPr>
            <w:tcW w:w="7791" w:type="dxa"/>
            <w:vAlign w:val="center"/>
          </w:tcPr>
          <w:p w:rsidR="00E357A7" w:rsidRPr="00E357A7" w:rsidRDefault="00E357A7" w:rsidP="00E357A7">
            <w:pPr>
              <w:jc w:val="both"/>
              <w:rPr>
                <w:rFonts w:ascii="Nirmala UI" w:hAnsi="Nirmala UI" w:cs="Nirmala UI"/>
                <w:sz w:val="20"/>
              </w:rPr>
            </w:pPr>
            <w:r w:rsidRPr="00E357A7">
              <w:rPr>
                <w:rFonts w:ascii="Nirmala UI" w:hAnsi="Nirmala UI" w:cs="Nirmala UI"/>
                <w:sz w:val="20"/>
              </w:rPr>
              <w:t>Not applicable.</w:t>
            </w:r>
          </w:p>
        </w:tc>
      </w:tr>
      <w:tr w:rsidR="00E357A7" w:rsidRPr="0049629A" w:rsidTr="003361B2">
        <w:trPr>
          <w:trHeight w:val="392"/>
        </w:trPr>
        <w:tc>
          <w:tcPr>
            <w:tcW w:w="562" w:type="dxa"/>
            <w:vAlign w:val="center"/>
          </w:tcPr>
          <w:p w:rsidR="00E357A7" w:rsidRPr="0049629A" w:rsidRDefault="00E357A7" w:rsidP="00E357A7">
            <w:pPr>
              <w:pStyle w:val="ListParagraph"/>
              <w:numPr>
                <w:ilvl w:val="0"/>
                <w:numId w:val="1"/>
              </w:numPr>
              <w:ind w:left="0" w:firstLine="0"/>
              <w:jc w:val="both"/>
              <w:rPr>
                <w:rFonts w:ascii="Nirmala UI" w:hAnsi="Nirmala UI" w:cs="Nirmala UI"/>
                <w:sz w:val="20"/>
              </w:rPr>
            </w:pPr>
          </w:p>
        </w:tc>
        <w:tc>
          <w:tcPr>
            <w:tcW w:w="2557" w:type="dxa"/>
          </w:tcPr>
          <w:p w:rsidR="00E357A7" w:rsidRPr="00E357A7" w:rsidRDefault="00E357A7" w:rsidP="00E357A7">
            <w:pPr>
              <w:rPr>
                <w:rFonts w:ascii="Nirmala UI" w:hAnsi="Nirmala UI" w:cs="Nirmala UI"/>
                <w:sz w:val="20"/>
              </w:rPr>
            </w:pPr>
            <w:r w:rsidRPr="00E357A7">
              <w:rPr>
                <w:rFonts w:ascii="Nirmala UI" w:hAnsi="Nirmala UI" w:cs="Nirmala UI"/>
                <w:sz w:val="20"/>
              </w:rPr>
              <w:t>Guarantee Certificate</w:t>
            </w:r>
          </w:p>
        </w:tc>
        <w:tc>
          <w:tcPr>
            <w:tcW w:w="7791" w:type="dxa"/>
            <w:vAlign w:val="center"/>
          </w:tcPr>
          <w:p w:rsidR="00E357A7" w:rsidRPr="00E357A7" w:rsidRDefault="00E357A7" w:rsidP="00E357A7">
            <w:pPr>
              <w:jc w:val="both"/>
              <w:rPr>
                <w:rFonts w:ascii="Nirmala UI" w:hAnsi="Nirmala UI" w:cs="Nirmala UI"/>
                <w:sz w:val="20"/>
              </w:rPr>
            </w:pPr>
            <w:r w:rsidRPr="00E357A7">
              <w:rPr>
                <w:rFonts w:ascii="Nirmala UI" w:hAnsi="Nirmala UI" w:cs="Nirmala UI"/>
                <w:sz w:val="20"/>
              </w:rPr>
              <w:t xml:space="preserve">Not applicable. </w:t>
            </w:r>
          </w:p>
        </w:tc>
      </w:tr>
      <w:tr w:rsidR="004C1991" w:rsidRPr="0049629A" w:rsidTr="003361B2">
        <w:trPr>
          <w:trHeight w:val="392"/>
        </w:trPr>
        <w:tc>
          <w:tcPr>
            <w:tcW w:w="562" w:type="dxa"/>
            <w:vAlign w:val="center"/>
          </w:tcPr>
          <w:p w:rsidR="004C1991" w:rsidRPr="0049629A" w:rsidRDefault="004C1991" w:rsidP="004C1991">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4C1991" w:rsidRPr="0049629A" w:rsidRDefault="004C1991" w:rsidP="004C1991">
            <w:pPr>
              <w:pStyle w:val="TableParagraph"/>
              <w:ind w:left="-86" w:right="96"/>
              <w:rPr>
                <w:rFonts w:ascii="Nirmala UI" w:hAnsi="Nirmala UI" w:cs="Nirmala UI"/>
                <w:bCs/>
                <w:color w:val="FF0000"/>
                <w:sz w:val="20"/>
                <w:szCs w:val="20"/>
              </w:rPr>
            </w:pPr>
            <w:r w:rsidRPr="0049629A">
              <w:rPr>
                <w:rFonts w:ascii="Nirmala UI" w:hAnsi="Nirmala UI" w:cs="Nirmala UI"/>
                <w:bCs/>
                <w:sz w:val="20"/>
                <w:szCs w:val="20"/>
              </w:rPr>
              <w:t xml:space="preserve">Risk &amp; Cost </w:t>
            </w:r>
            <w:r>
              <w:rPr>
                <w:rFonts w:ascii="Nirmala UI" w:hAnsi="Nirmala UI" w:cs="Nirmala UI"/>
                <w:bCs/>
                <w:sz w:val="20"/>
                <w:szCs w:val="20"/>
              </w:rPr>
              <w:t>C</w:t>
            </w:r>
            <w:r w:rsidRPr="0049629A">
              <w:rPr>
                <w:rFonts w:ascii="Nirmala UI" w:hAnsi="Nirmala UI" w:cs="Nirmala UI"/>
                <w:bCs/>
                <w:sz w:val="20"/>
                <w:szCs w:val="20"/>
              </w:rPr>
              <w:t>lause</w:t>
            </w:r>
          </w:p>
        </w:tc>
        <w:tc>
          <w:tcPr>
            <w:tcW w:w="7791" w:type="dxa"/>
            <w:vAlign w:val="center"/>
          </w:tcPr>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Risk &amp; Cost Clause, in line with Conditions of Contract may be invoked in any of the following cases:</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Seller/Contractor’s poor progress of the work vis-à-vis execution timeline as stipulated in the Contract, backl</w:t>
            </w:r>
            <w:r>
              <w:rPr>
                <w:rFonts w:ascii="Nirmala UI" w:hAnsi="Nirmala UI" w:cs="Nirmala UI"/>
                <w:sz w:val="20"/>
                <w:szCs w:val="20"/>
              </w:rPr>
              <w:t>og attributable to Contractor/ S</w:t>
            </w:r>
            <w:r w:rsidRPr="004D24D3">
              <w:rPr>
                <w:rFonts w:ascii="Nirmala UI" w:hAnsi="Nirmala UI" w:cs="Nirmala UI"/>
                <w:sz w:val="20"/>
                <w:szCs w:val="20"/>
              </w:rPr>
              <w:t>upplier including unexecuted portion of work/ supply does not appear to be executable within balance available period (#) considering its performance of execution.</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 xml:space="preserve">Withdrawal from or abandonment of the work by contractor before completion of </w:t>
            </w:r>
            <w:r w:rsidRPr="004D24D3">
              <w:rPr>
                <w:rFonts w:ascii="Nirmala UI" w:hAnsi="Nirmala UI" w:cs="Nirmala UI"/>
                <w:sz w:val="20"/>
                <w:szCs w:val="20"/>
              </w:rPr>
              <w:lastRenderedPageBreak/>
              <w:t>the work as per contract.</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 xml:space="preserve">Non completion of work/ Non-supply by the Contractor/ </w:t>
            </w:r>
            <w:r>
              <w:rPr>
                <w:rFonts w:ascii="Nirmala UI" w:hAnsi="Nirmala UI" w:cs="Nirmala UI"/>
                <w:sz w:val="20"/>
                <w:szCs w:val="20"/>
              </w:rPr>
              <w:t>S</w:t>
            </w:r>
            <w:r w:rsidRPr="004D24D3">
              <w:rPr>
                <w:rFonts w:ascii="Nirmala UI" w:hAnsi="Nirmala UI" w:cs="Nirmala UI"/>
                <w:sz w:val="20"/>
                <w:szCs w:val="20"/>
              </w:rPr>
              <w:t>upplier within scheduled completion/delivery period as per Contract or as extended from time to time, for t</w:t>
            </w:r>
            <w:r>
              <w:rPr>
                <w:rFonts w:ascii="Nirmala UI" w:hAnsi="Nirmala UI" w:cs="Nirmala UI"/>
                <w:sz w:val="20"/>
                <w:szCs w:val="20"/>
              </w:rPr>
              <w:t>he reasons attributable to the Co</w:t>
            </w:r>
            <w:r w:rsidRPr="004D24D3">
              <w:rPr>
                <w:rFonts w:ascii="Nirmala UI" w:hAnsi="Nirmala UI" w:cs="Nirmala UI"/>
                <w:sz w:val="20"/>
                <w:szCs w:val="20"/>
              </w:rPr>
              <w:t xml:space="preserve">ntractor/ </w:t>
            </w:r>
            <w:r>
              <w:rPr>
                <w:rFonts w:ascii="Nirmala UI" w:hAnsi="Nirmala UI" w:cs="Nirmala UI"/>
                <w:sz w:val="20"/>
                <w:szCs w:val="20"/>
              </w:rPr>
              <w:t>S</w:t>
            </w:r>
            <w:r w:rsidRPr="004D24D3">
              <w:rPr>
                <w:rFonts w:ascii="Nirmala UI" w:hAnsi="Nirmala UI" w:cs="Nirmala UI"/>
                <w:sz w:val="20"/>
                <w:szCs w:val="20"/>
              </w:rPr>
              <w:t>upplier.</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Termination of Contract on account of any other reason (s) attributable to Contractor/ Supplier.</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Assignment, transfer, subletting of Contract without BHEL’s written permission resulting in termination of Contract or part thereof by BHEL.</w:t>
            </w:r>
          </w:p>
          <w:p w:rsidR="004C1991" w:rsidRPr="004D24D3" w:rsidRDefault="004C1991" w:rsidP="004C1991">
            <w:pPr>
              <w:pStyle w:val="TableParagraph"/>
              <w:numPr>
                <w:ilvl w:val="0"/>
                <w:numId w:val="38"/>
              </w:numPr>
              <w:ind w:right="4"/>
              <w:jc w:val="both"/>
              <w:rPr>
                <w:rFonts w:ascii="Nirmala UI" w:hAnsi="Nirmala UI" w:cs="Nirmala UI"/>
                <w:sz w:val="20"/>
                <w:szCs w:val="20"/>
              </w:rPr>
            </w:pPr>
            <w:r w:rsidRPr="004D24D3">
              <w:rPr>
                <w:rFonts w:ascii="Nirmala UI" w:hAnsi="Nirmala UI" w:cs="Nirmala UI"/>
                <w:sz w:val="20"/>
                <w:szCs w:val="20"/>
              </w:rPr>
              <w:t>Non-compliance to any contractual condition or any other default attributable to Contractor/ Supplier.</w:t>
            </w:r>
          </w:p>
          <w:p w:rsidR="004C1991" w:rsidRPr="004D24D3" w:rsidRDefault="004C1991" w:rsidP="004C1991">
            <w:pPr>
              <w:pStyle w:val="TableParagraph"/>
              <w:ind w:left="29" w:right="4" w:hanging="1"/>
              <w:jc w:val="both"/>
              <w:rPr>
                <w:rFonts w:ascii="Nirmala UI" w:hAnsi="Nirmala UI" w:cs="Nirmala UI"/>
                <w:b/>
                <w:bCs/>
                <w:sz w:val="20"/>
                <w:szCs w:val="20"/>
              </w:rPr>
            </w:pPr>
            <w:r w:rsidRPr="004D24D3">
              <w:rPr>
                <w:rFonts w:ascii="Nirmala UI" w:hAnsi="Nirmala UI" w:cs="Nirmala UI"/>
                <w:b/>
                <w:bCs/>
                <w:sz w:val="20"/>
                <w:szCs w:val="20"/>
              </w:rPr>
              <w:t>Risk &amp; Cost:</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Risk and Cost against Balance Work:</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Risk &amp; Cost Amount= [(A-B) + (A x H/100)]</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Where,</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A= Value of Balance scope of Work/ Supply (*) as per rates of new contract</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 xml:space="preserve">B= Value of Balance scope of Work/ Supply (*) as per rates of old contract </w:t>
            </w:r>
            <w:r>
              <w:rPr>
                <w:rFonts w:ascii="Nirmala UI" w:hAnsi="Nirmala UI" w:cs="Nirmala UI"/>
                <w:sz w:val="20"/>
                <w:szCs w:val="20"/>
              </w:rPr>
              <w:t>being paid to the C</w:t>
            </w:r>
            <w:r w:rsidRPr="004D24D3">
              <w:rPr>
                <w:rFonts w:ascii="Nirmala UI" w:hAnsi="Nirmala UI" w:cs="Nirmala UI"/>
                <w:sz w:val="20"/>
                <w:szCs w:val="20"/>
              </w:rPr>
              <w:t xml:space="preserve">ontractor/ </w:t>
            </w:r>
            <w:r>
              <w:rPr>
                <w:rFonts w:ascii="Nirmala UI" w:hAnsi="Nirmala UI" w:cs="Nirmala UI"/>
                <w:sz w:val="20"/>
                <w:szCs w:val="20"/>
              </w:rPr>
              <w:t>S</w:t>
            </w:r>
            <w:r w:rsidRPr="004D24D3">
              <w:rPr>
                <w:rFonts w:ascii="Nirmala UI" w:hAnsi="Nirmala UI" w:cs="Nirmala UI"/>
                <w:sz w:val="20"/>
                <w:szCs w:val="20"/>
              </w:rPr>
              <w:t>upplier at the time of termination of contract i.e. inclusive of PVC &amp; ORC, if any.</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H = Overhead Factor to be taken as 5</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In case (A-B) is less than 0 (zero), value of (A-B) shall be taken as 0 (zero).</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*(Balance scope of work/ supply)</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Difference of Contract Quantities and Executed Quantities as on the date of issue of Letter for ‘Termination of Contract’, shall be taken as balance scope of Work/ Supply for calculating risk &amp; cost amount.</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Contract quantities are the quantities as per original contract. If, Contract has been amended, quantities as per amended Contract shall be considered as Contract Quantities.</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However, increase in quantities on account of additional scope in new tender shall not be considered for this purpose.</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Note: Incase portion of work is being withdrawn, contract quantities pertaining to portion of work withdrawn shall be considered as ‘Balance scope of work/supply’ for calculating Risk &amp; Cost amount.</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LD against delay in executed work/supply in case of Termination of Contract</w:t>
            </w: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lastRenderedPageBreak/>
              <w:t xml:space="preserve">LD against delay in executed work/supply shall be calculated in line with LD clause of the contract for the delay attributable to </w:t>
            </w:r>
            <w:r>
              <w:rPr>
                <w:rFonts w:ascii="Nirmala UI" w:hAnsi="Nirmala UI" w:cs="Nirmala UI"/>
                <w:sz w:val="20"/>
                <w:szCs w:val="20"/>
              </w:rPr>
              <w:t>C</w:t>
            </w:r>
            <w:r w:rsidRPr="004D24D3">
              <w:rPr>
                <w:rFonts w:ascii="Nirmala UI" w:hAnsi="Nirmala UI" w:cs="Nirmala UI"/>
                <w:sz w:val="20"/>
                <w:szCs w:val="20"/>
              </w:rPr>
              <w:t xml:space="preserve">ontractor/ </w:t>
            </w:r>
            <w:r>
              <w:rPr>
                <w:rFonts w:ascii="Nirmala UI" w:hAnsi="Nirmala UI" w:cs="Nirmala UI"/>
                <w:sz w:val="20"/>
                <w:szCs w:val="20"/>
              </w:rPr>
              <w:t>S</w:t>
            </w:r>
            <w:r w:rsidRPr="004D24D3">
              <w:rPr>
                <w:rFonts w:ascii="Nirmala UI" w:hAnsi="Nirmala UI" w:cs="Nirmala UI"/>
                <w:sz w:val="20"/>
                <w:szCs w:val="20"/>
              </w:rPr>
              <w:t>upplier. For this purpose, contract value shall be taken as Executed Value of 30work/supply for the purpose of limiting maximum LD value.</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Method for calculation of “LD against delay in executed work/supply” is given below.</w:t>
            </w:r>
          </w:p>
          <w:p w:rsidR="004C1991" w:rsidRPr="004D24D3" w:rsidRDefault="004C1991" w:rsidP="004C1991">
            <w:pPr>
              <w:pStyle w:val="TableParagraph"/>
              <w:numPr>
                <w:ilvl w:val="0"/>
                <w:numId w:val="39"/>
              </w:numPr>
              <w:ind w:right="4"/>
              <w:jc w:val="both"/>
              <w:rPr>
                <w:rFonts w:ascii="Nirmala UI" w:hAnsi="Nirmala UI" w:cs="Nirmala UI"/>
                <w:sz w:val="20"/>
                <w:szCs w:val="20"/>
              </w:rPr>
            </w:pPr>
            <w:r w:rsidRPr="004D24D3">
              <w:rPr>
                <w:rFonts w:ascii="Nirmala UI" w:hAnsi="Nirmala UI" w:cs="Nirmala UI"/>
                <w:sz w:val="20"/>
                <w:szCs w:val="20"/>
              </w:rPr>
              <w:t xml:space="preserve">Let the time period from scheduled date of start of work till termination of contract excluding the period of Hold (if any) not attributable to </w:t>
            </w:r>
            <w:r>
              <w:rPr>
                <w:rFonts w:ascii="Nirmala UI" w:hAnsi="Nirmala UI" w:cs="Nirmala UI"/>
                <w:sz w:val="20"/>
                <w:szCs w:val="20"/>
              </w:rPr>
              <w:t>C</w:t>
            </w:r>
            <w:r w:rsidRPr="004D24D3">
              <w:rPr>
                <w:rFonts w:ascii="Nirmala UI" w:hAnsi="Nirmala UI" w:cs="Nirmala UI"/>
                <w:sz w:val="20"/>
                <w:szCs w:val="20"/>
              </w:rPr>
              <w:t xml:space="preserve">ontractor/ </w:t>
            </w:r>
            <w:r>
              <w:rPr>
                <w:rFonts w:ascii="Nirmala UI" w:hAnsi="Nirmala UI" w:cs="Nirmala UI"/>
                <w:sz w:val="20"/>
                <w:szCs w:val="20"/>
              </w:rPr>
              <w:t>S</w:t>
            </w:r>
            <w:r w:rsidRPr="004D24D3">
              <w:rPr>
                <w:rFonts w:ascii="Nirmala UI" w:hAnsi="Nirmala UI" w:cs="Nirmala UI"/>
                <w:sz w:val="20"/>
                <w:szCs w:val="20"/>
              </w:rPr>
              <w:t>upplier= T1</w:t>
            </w:r>
          </w:p>
          <w:p w:rsidR="004C1991" w:rsidRPr="004D24D3" w:rsidRDefault="004C1991" w:rsidP="004C1991">
            <w:pPr>
              <w:pStyle w:val="TableParagraph"/>
              <w:numPr>
                <w:ilvl w:val="0"/>
                <w:numId w:val="39"/>
              </w:numPr>
              <w:ind w:right="4"/>
              <w:jc w:val="both"/>
              <w:rPr>
                <w:rFonts w:ascii="Nirmala UI" w:hAnsi="Nirmala UI" w:cs="Nirmala UI"/>
                <w:sz w:val="20"/>
                <w:szCs w:val="20"/>
              </w:rPr>
            </w:pPr>
            <w:r w:rsidRPr="004D24D3">
              <w:rPr>
                <w:rFonts w:ascii="Nirmala UI" w:hAnsi="Nirmala UI" w:cs="Nirmala UI"/>
                <w:sz w:val="20"/>
                <w:szCs w:val="20"/>
              </w:rPr>
              <w:t>Let the value of executed work/supply till the time of termination of contract= X</w:t>
            </w:r>
          </w:p>
          <w:p w:rsidR="004C1991" w:rsidRPr="004D24D3" w:rsidRDefault="004C1991" w:rsidP="004C1991">
            <w:pPr>
              <w:pStyle w:val="TableParagraph"/>
              <w:numPr>
                <w:ilvl w:val="0"/>
                <w:numId w:val="39"/>
              </w:numPr>
              <w:ind w:right="4"/>
              <w:jc w:val="both"/>
              <w:rPr>
                <w:rFonts w:ascii="Nirmala UI" w:hAnsi="Nirmala UI" w:cs="Nirmala UI"/>
                <w:sz w:val="20"/>
                <w:szCs w:val="20"/>
              </w:rPr>
            </w:pPr>
            <w:r w:rsidRPr="004D24D3">
              <w:rPr>
                <w:rFonts w:ascii="Nirmala UI" w:hAnsi="Nirmala UI" w:cs="Nirmala UI"/>
                <w:sz w:val="20"/>
                <w:szCs w:val="20"/>
              </w:rPr>
              <w:t>Let the Total Executable Value of work/supply for which inputs</w:t>
            </w:r>
            <w:r>
              <w:rPr>
                <w:rFonts w:ascii="Nirmala UI" w:hAnsi="Nirmala UI" w:cs="Nirmala UI"/>
                <w:sz w:val="20"/>
                <w:szCs w:val="20"/>
              </w:rPr>
              <w:t>/fronts were made available to C</w:t>
            </w:r>
            <w:r w:rsidRPr="004D24D3">
              <w:rPr>
                <w:rFonts w:ascii="Nirmala UI" w:hAnsi="Nirmala UI" w:cs="Nirmala UI"/>
                <w:sz w:val="20"/>
                <w:szCs w:val="20"/>
              </w:rPr>
              <w:t xml:space="preserve">ontractor/ </w:t>
            </w:r>
            <w:r>
              <w:rPr>
                <w:rFonts w:ascii="Nirmala UI" w:hAnsi="Nirmala UI" w:cs="Nirmala UI"/>
                <w:sz w:val="20"/>
                <w:szCs w:val="20"/>
              </w:rPr>
              <w:t>S</w:t>
            </w:r>
            <w:r w:rsidRPr="004D24D3">
              <w:rPr>
                <w:rFonts w:ascii="Nirmala UI" w:hAnsi="Nirmala UI" w:cs="Nirmala UI"/>
                <w:sz w:val="20"/>
                <w:szCs w:val="20"/>
              </w:rPr>
              <w:t>upplier and were planned for execution till termination of contract = Y</w:t>
            </w:r>
          </w:p>
          <w:p w:rsidR="004C1991" w:rsidRPr="004D24D3" w:rsidRDefault="004C1991" w:rsidP="004C1991">
            <w:pPr>
              <w:pStyle w:val="TableParagraph"/>
              <w:numPr>
                <w:ilvl w:val="0"/>
                <w:numId w:val="39"/>
              </w:numPr>
              <w:ind w:right="4"/>
              <w:jc w:val="both"/>
              <w:rPr>
                <w:rFonts w:ascii="Nirmala UI" w:hAnsi="Nirmala UI" w:cs="Nirmala UI"/>
                <w:sz w:val="20"/>
                <w:szCs w:val="20"/>
              </w:rPr>
            </w:pPr>
            <w:r w:rsidRPr="004D24D3">
              <w:rPr>
                <w:rFonts w:ascii="Nirmala UI" w:hAnsi="Nirmala UI" w:cs="Nirmala UI"/>
                <w:sz w:val="20"/>
                <w:szCs w:val="20"/>
              </w:rPr>
              <w:t xml:space="preserve">Delay in executed work/supply attributable to </w:t>
            </w:r>
            <w:r>
              <w:rPr>
                <w:rFonts w:ascii="Nirmala UI" w:hAnsi="Nirmala UI" w:cs="Nirmala UI"/>
                <w:sz w:val="20"/>
                <w:szCs w:val="20"/>
              </w:rPr>
              <w:t>Contractor/S</w:t>
            </w:r>
            <w:r w:rsidRPr="004D24D3">
              <w:rPr>
                <w:rFonts w:ascii="Nirmala UI" w:hAnsi="Nirmala UI" w:cs="Nirmala UI"/>
                <w:sz w:val="20"/>
                <w:szCs w:val="20"/>
              </w:rPr>
              <w:t>upplier i.e. T2=(1-X/Y) x T1</w:t>
            </w:r>
          </w:p>
          <w:p w:rsidR="004C1991" w:rsidRPr="004D24D3" w:rsidRDefault="004C1991" w:rsidP="004C1991">
            <w:pPr>
              <w:pStyle w:val="TableParagraph"/>
              <w:numPr>
                <w:ilvl w:val="0"/>
                <w:numId w:val="39"/>
              </w:numPr>
              <w:ind w:right="4"/>
              <w:jc w:val="both"/>
              <w:rPr>
                <w:rFonts w:ascii="Nirmala UI" w:hAnsi="Nirmala UI" w:cs="Nirmala UI"/>
                <w:sz w:val="20"/>
                <w:szCs w:val="20"/>
              </w:rPr>
            </w:pPr>
            <w:r w:rsidRPr="004D24D3">
              <w:rPr>
                <w:rFonts w:ascii="Nirmala UI" w:hAnsi="Nirmala UI" w:cs="Nirmala UI"/>
                <w:sz w:val="20"/>
                <w:szCs w:val="20"/>
              </w:rPr>
              <w:t xml:space="preserve">LD shall be calculated in line with LD clause of the Contract for the delay attributable to </w:t>
            </w:r>
            <w:r>
              <w:rPr>
                <w:rFonts w:ascii="Nirmala UI" w:hAnsi="Nirmala UI" w:cs="Nirmala UI"/>
                <w:sz w:val="20"/>
                <w:szCs w:val="20"/>
              </w:rPr>
              <w:t>Contractor/ S</w:t>
            </w:r>
            <w:r w:rsidRPr="004D24D3">
              <w:rPr>
                <w:rFonts w:ascii="Nirmala UI" w:hAnsi="Nirmala UI" w:cs="Nirmala UI"/>
                <w:sz w:val="20"/>
                <w:szCs w:val="20"/>
              </w:rPr>
              <w:t xml:space="preserve">upplier taking “X” as Contract Value and “T2” as delay attributable to </w:t>
            </w:r>
            <w:r>
              <w:rPr>
                <w:rFonts w:ascii="Nirmala UI" w:hAnsi="Nirmala UI" w:cs="Nirmala UI"/>
                <w:sz w:val="20"/>
                <w:szCs w:val="20"/>
              </w:rPr>
              <w:t>Contractor/ S</w:t>
            </w:r>
            <w:r w:rsidRPr="004D24D3">
              <w:rPr>
                <w:rFonts w:ascii="Nirmala UI" w:hAnsi="Nirmala UI" w:cs="Nirmala UI"/>
                <w:sz w:val="20"/>
                <w:szCs w:val="20"/>
              </w:rPr>
              <w:t>upplier.</w:t>
            </w:r>
          </w:p>
          <w:p w:rsidR="004C1991" w:rsidRPr="004D24D3" w:rsidRDefault="004C1991" w:rsidP="004C1991">
            <w:pPr>
              <w:pStyle w:val="TableParagraph"/>
              <w:ind w:left="29" w:right="4" w:hanging="1"/>
              <w:jc w:val="both"/>
              <w:rPr>
                <w:rFonts w:ascii="Nirmala UI" w:hAnsi="Nirmala UI" w:cs="Nirmala UI"/>
                <w:sz w:val="20"/>
                <w:szCs w:val="20"/>
              </w:rPr>
            </w:pPr>
          </w:p>
          <w:p w:rsidR="004C1991" w:rsidRPr="004D24D3" w:rsidRDefault="004C1991" w:rsidP="004C1991">
            <w:pPr>
              <w:pStyle w:val="TableParagraph"/>
              <w:ind w:left="29" w:right="4" w:hanging="1"/>
              <w:jc w:val="both"/>
              <w:rPr>
                <w:rFonts w:ascii="Nirmala UI" w:hAnsi="Nirmala UI" w:cs="Nirmala UI"/>
                <w:sz w:val="20"/>
                <w:szCs w:val="20"/>
              </w:rPr>
            </w:pPr>
            <w:r w:rsidRPr="004D24D3">
              <w:rPr>
                <w:rFonts w:ascii="Nirmala UI" w:hAnsi="Nirmala UI" w:cs="Nirmala UI"/>
                <w:sz w:val="20"/>
                <w:szCs w:val="20"/>
              </w:rPr>
              <w:t>Note: Incase portion of work/supply is withdrawn; no LD shall be applicable for portion of work/supply withdrawn.</w:t>
            </w:r>
          </w:p>
        </w:tc>
      </w:tr>
      <w:tr w:rsidR="004C1991" w:rsidRPr="0049629A" w:rsidTr="003361B2">
        <w:trPr>
          <w:trHeight w:val="392"/>
        </w:trPr>
        <w:tc>
          <w:tcPr>
            <w:tcW w:w="562" w:type="dxa"/>
            <w:vAlign w:val="center"/>
          </w:tcPr>
          <w:p w:rsidR="004C1991" w:rsidRPr="0049629A" w:rsidRDefault="004C1991" w:rsidP="004C1991">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4C1991" w:rsidRPr="0049629A" w:rsidRDefault="004C1991" w:rsidP="004C1991">
            <w:pPr>
              <w:pStyle w:val="TableParagraph"/>
              <w:ind w:left="-86" w:right="96"/>
              <w:rPr>
                <w:rFonts w:ascii="Nirmala UI" w:hAnsi="Nirmala UI" w:cs="Nirmala UI"/>
                <w:color w:val="000000" w:themeColor="text1"/>
                <w:sz w:val="20"/>
                <w:szCs w:val="20"/>
              </w:rPr>
            </w:pPr>
            <w:r w:rsidRPr="0049629A">
              <w:rPr>
                <w:rFonts w:ascii="Nirmala UI" w:hAnsi="Nirmala UI" w:cs="Nirmala UI"/>
                <w:color w:val="000000" w:themeColor="text1"/>
                <w:sz w:val="20"/>
                <w:szCs w:val="20"/>
              </w:rPr>
              <w:t>Conciliation Clause</w:t>
            </w:r>
          </w:p>
        </w:tc>
        <w:tc>
          <w:tcPr>
            <w:tcW w:w="7791" w:type="dxa"/>
            <w:vAlign w:val="center"/>
          </w:tcPr>
          <w:p w:rsidR="004C1991" w:rsidRPr="0049629A" w:rsidRDefault="004C1991" w:rsidP="004C1991">
            <w:pPr>
              <w:adjustRightInd w:val="0"/>
              <w:jc w:val="both"/>
              <w:rPr>
                <w:rFonts w:ascii="Nirmala UI" w:eastAsia="Calibri" w:hAnsi="Nirmala UI" w:cs="Nirmala UI"/>
                <w:color w:val="000000" w:themeColor="text1"/>
                <w:sz w:val="20"/>
                <w:lang w:bidi="ar-SA"/>
              </w:rPr>
            </w:pPr>
            <w:r w:rsidRPr="0049629A">
              <w:rPr>
                <w:rFonts w:ascii="Nirmala UI" w:eastAsia="Calibri" w:hAnsi="Nirmala UI" w:cs="Nirmala UI"/>
                <w:color w:val="000000" w:themeColor="text1"/>
                <w:sz w:val="20"/>
                <w:lang w:bidi="ar-SA"/>
              </w:rPr>
              <w:t xml:space="preserve">The Conciliation Scheme 2018 attached as </w:t>
            </w:r>
            <w:r w:rsidRPr="0049629A">
              <w:rPr>
                <w:rFonts w:ascii="Nirmala UI" w:eastAsia="Calibri" w:hAnsi="Nirmala UI" w:cs="Nirmala UI"/>
                <w:color w:val="000000" w:themeColor="text1"/>
                <w:sz w:val="20"/>
                <w:u w:val="single"/>
                <w:lang w:bidi="ar-SA"/>
              </w:rPr>
              <w:t>Annexure-A</w:t>
            </w:r>
            <w:r w:rsidRPr="0049629A">
              <w:rPr>
                <w:rFonts w:ascii="Nirmala UI" w:eastAsia="Calibri" w:hAnsi="Nirmala UI" w:cs="Nirmala UI"/>
                <w:color w:val="000000" w:themeColor="text1"/>
                <w:sz w:val="20"/>
                <w:lang w:bidi="ar-SA"/>
              </w:rPr>
              <w:t xml:space="preserve"> shall be applicable. The Signed &amp; Stamped copy of the same to be attached along with the offer as a mark of acceptance.</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Force Majeure</w:t>
            </w:r>
          </w:p>
        </w:tc>
        <w:tc>
          <w:tcPr>
            <w:tcW w:w="7791" w:type="dxa"/>
            <w:vAlign w:val="center"/>
          </w:tcPr>
          <w:p w:rsidR="00C53723" w:rsidRPr="00812990" w:rsidRDefault="00C53723" w:rsidP="00C53723">
            <w:pPr>
              <w:ind w:right="13"/>
              <w:jc w:val="both"/>
              <w:rPr>
                <w:rFonts w:ascii="Nirmala UI" w:hAnsi="Nirmala UI" w:cs="Nirmala UI"/>
                <w:sz w:val="20"/>
              </w:rPr>
            </w:pPr>
            <w:r w:rsidRPr="00812990">
              <w:rPr>
                <w:rFonts w:ascii="Nirmala UI" w:hAnsi="Nirmala UI" w:cs="Nirmala UI"/>
                <w:sz w:val="20"/>
              </w:rPr>
              <w:t>If at any time during the continuance of the Order/Contract, the performance in whole or in part by either party of any obligations under the Order/Contract shall be prevented or delayed by reason of any war hostilities, acts of the public enemy, restrictions by Govt. of India, civil commotion, sabotage, fires, floods, explosion, epidemics, quarantine restrictions, strike, lock-outs, or acts of God (hereinafter referred to as 'event'), then, provided notice of the happening of such event is given by either party to the other within fifteen (15) days from the date of occurrence thereof, neither party shall by reason of such event be entitled to terminate the Order/Contract nor shall have any claim for damages against each other in respect of such non-performance and delay in performance. Performance under the Order/Contract shall be resumed immediately after such event has come to an end or ceased to exist and decision of Purchaser as to whether the deliveries have to be resumed or not shall be final, conclusive and binding on the parties hereto.</w:t>
            </w:r>
          </w:p>
          <w:p w:rsidR="00C53723" w:rsidRPr="00812990" w:rsidRDefault="00C53723" w:rsidP="00C53723">
            <w:pPr>
              <w:ind w:right="13"/>
              <w:jc w:val="both"/>
              <w:rPr>
                <w:rFonts w:ascii="Nirmala UI" w:hAnsi="Nirmala UI" w:cs="Nirmala UI"/>
                <w:sz w:val="20"/>
              </w:rPr>
            </w:pPr>
          </w:p>
          <w:p w:rsidR="00C53723" w:rsidRPr="00812990" w:rsidRDefault="00C53723" w:rsidP="00C53723">
            <w:pPr>
              <w:ind w:right="13"/>
              <w:jc w:val="both"/>
              <w:rPr>
                <w:rFonts w:ascii="Nirmala UI" w:hAnsi="Nirmala UI" w:cs="Nirmala UI"/>
                <w:sz w:val="20"/>
              </w:rPr>
            </w:pPr>
            <w:r w:rsidRPr="00812990">
              <w:rPr>
                <w:rFonts w:ascii="Nirmala UI" w:hAnsi="Nirmala UI" w:cs="Nirmala UI"/>
                <w:sz w:val="20"/>
              </w:rPr>
              <w:t>In the event of the parties hereto not able to agree that a force majeure event has occurred, the parties shall submit the disputes for resolution pursuant to the provisions hereunder, provided that the burden of proof as to whether a force majeure event has occurred shall be upon the party claiming such an event.</w:t>
            </w:r>
          </w:p>
          <w:p w:rsidR="00C53723" w:rsidRPr="00812990" w:rsidRDefault="00C53723" w:rsidP="00C53723">
            <w:pPr>
              <w:ind w:right="13"/>
              <w:jc w:val="both"/>
              <w:rPr>
                <w:rFonts w:ascii="Nirmala UI" w:hAnsi="Nirmala UI" w:cs="Nirmala UI"/>
                <w:sz w:val="20"/>
              </w:rPr>
            </w:pPr>
          </w:p>
          <w:p w:rsidR="00C53723" w:rsidRPr="0049629A" w:rsidRDefault="00F9220D" w:rsidP="00C53723">
            <w:pPr>
              <w:ind w:right="13"/>
              <w:jc w:val="both"/>
              <w:rPr>
                <w:rFonts w:ascii="Nirmala UI" w:hAnsi="Nirmala UI" w:cs="Nirmala UI"/>
                <w:sz w:val="20"/>
              </w:rPr>
            </w:pPr>
            <w:r>
              <w:rPr>
                <w:rFonts w:ascii="Nirmala UI" w:hAnsi="Nirmala UI" w:cs="Nirmala UI"/>
                <w:sz w:val="20"/>
              </w:rPr>
              <w:t>Not</w:t>
            </w:r>
            <w:r w:rsidR="00C53723" w:rsidRPr="00812990">
              <w:rPr>
                <w:rFonts w:ascii="Nirmala UI" w:hAnsi="Nirmala UI" w:cs="Nirmala UI"/>
                <w:sz w:val="20"/>
              </w:rPr>
              <w:t>withstanding the above provisions, Purchaser shall reserve the right to cancel the Order/Contract, wholly or partly, in order to meet the overall schedule and make alternative arrangements for completion of delivery and other schedules.</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812990" w:rsidRDefault="00C53723" w:rsidP="00C53723">
            <w:pPr>
              <w:ind w:left="-108"/>
              <w:rPr>
                <w:rFonts w:ascii="Nirmala UI" w:hAnsi="Nirmala UI" w:cs="Nirmala UI"/>
                <w:sz w:val="20"/>
              </w:rPr>
            </w:pPr>
            <w:r w:rsidRPr="00812990">
              <w:rPr>
                <w:rFonts w:ascii="Nirmala UI" w:hAnsi="Nirmala UI" w:cs="Nirmala UI"/>
                <w:sz w:val="20"/>
              </w:rPr>
              <w:t>Arbitration &amp; Legal Jurisdiction</w:t>
            </w:r>
          </w:p>
        </w:tc>
        <w:tc>
          <w:tcPr>
            <w:tcW w:w="7791" w:type="dxa"/>
          </w:tcPr>
          <w:p w:rsidR="00C53723" w:rsidRPr="00812990" w:rsidRDefault="00C53723" w:rsidP="00C53723">
            <w:pPr>
              <w:jc w:val="both"/>
              <w:rPr>
                <w:rFonts w:ascii="Nirmala UI" w:hAnsi="Nirmala UI" w:cs="Nirmala UI"/>
                <w:color w:val="000000" w:themeColor="text1"/>
                <w:sz w:val="20"/>
              </w:rPr>
            </w:pPr>
            <w:r w:rsidRPr="00812990">
              <w:rPr>
                <w:rFonts w:ascii="Nirmala UI" w:hAnsi="Nirmala UI" w:cs="Nirmala UI"/>
                <w:color w:val="000000" w:themeColor="text1"/>
                <w:sz w:val="20"/>
              </w:rPr>
              <w:t xml:space="preserve">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w:t>
            </w:r>
            <w:r w:rsidRPr="00812990">
              <w:rPr>
                <w:rFonts w:ascii="Nirmala UI" w:hAnsi="Nirmala UI" w:cs="Nirmala UI"/>
                <w:color w:val="000000" w:themeColor="text1"/>
                <w:sz w:val="20"/>
              </w:rPr>
              <w:lastRenderedPageBreak/>
              <w:t>the Contract; or, in any manner touching upon the Contract, then, either party may, by a notice in writing to the other party refer such dispute or difference to the sole arbitration of an Arbitrator appointed by the head of  BHEL Unit/ Region/ Division issuing the Contract.</w:t>
            </w:r>
          </w:p>
          <w:p w:rsidR="00C53723" w:rsidRPr="00812990" w:rsidRDefault="00C53723" w:rsidP="00C53723">
            <w:pPr>
              <w:jc w:val="both"/>
              <w:rPr>
                <w:rFonts w:ascii="Nirmala UI" w:hAnsi="Nirmala UI" w:cs="Nirmala UI"/>
                <w:color w:val="000000" w:themeColor="text1"/>
                <w:sz w:val="20"/>
              </w:rPr>
            </w:pPr>
          </w:p>
          <w:p w:rsidR="00C53723" w:rsidRPr="00812990" w:rsidRDefault="00C53723" w:rsidP="00C53723">
            <w:pPr>
              <w:jc w:val="both"/>
              <w:rPr>
                <w:rFonts w:ascii="Nirmala UI" w:hAnsi="Nirmala UI" w:cs="Nirmala UI"/>
                <w:color w:val="000000" w:themeColor="text1"/>
                <w:sz w:val="20"/>
              </w:rPr>
            </w:pPr>
            <w:r w:rsidRPr="00812990">
              <w:rPr>
                <w:rFonts w:ascii="Nirmala UI" w:hAnsi="Nirmala UI" w:cs="Nirmala UI"/>
                <w:color w:val="000000" w:themeColor="text1"/>
                <w:sz w:val="20"/>
              </w:rPr>
              <w:t>The Arbitrator shall pass a reasoned award and the award of the Arbitrator shall be final and binding upon the parties.</w:t>
            </w:r>
          </w:p>
          <w:p w:rsidR="00C53723" w:rsidRPr="00812990" w:rsidRDefault="00C53723" w:rsidP="00C53723">
            <w:pPr>
              <w:jc w:val="both"/>
              <w:rPr>
                <w:rFonts w:ascii="Nirmala UI" w:hAnsi="Nirmala UI" w:cs="Nirmala UI"/>
                <w:color w:val="000000" w:themeColor="text1"/>
                <w:sz w:val="20"/>
              </w:rPr>
            </w:pPr>
          </w:p>
          <w:p w:rsidR="00C53723" w:rsidRPr="00812990" w:rsidRDefault="00C53723" w:rsidP="00C53723">
            <w:pPr>
              <w:jc w:val="both"/>
              <w:rPr>
                <w:rFonts w:ascii="Nirmala UI" w:hAnsi="Nirmala UI" w:cs="Nirmala UI"/>
                <w:color w:val="000000" w:themeColor="text1"/>
                <w:sz w:val="20"/>
              </w:rPr>
            </w:pPr>
            <w:r w:rsidRPr="00812990">
              <w:rPr>
                <w:rFonts w:ascii="Nirmala UI" w:hAnsi="Nirmala UI" w:cs="Nirmala UI"/>
                <w:color w:val="000000" w:themeColor="text1"/>
                <w:sz w:val="20"/>
              </w:rPr>
              <w:t>Subject as aforesaid, the provisions of the Arbitration and Conciliation Act, 1996 (India) or statutory modification or re-enactment thereof and the rules made there under and for the time being in force shall apply to the arbitration proceedings under this clause. The seat of arbitration shall be Bangalore. The cost arbitration shall be borne as per the award of Arbitrator.</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812990" w:rsidRDefault="00C53723" w:rsidP="00C53723">
            <w:pPr>
              <w:ind w:left="-108"/>
              <w:rPr>
                <w:rFonts w:ascii="Nirmala UI" w:hAnsi="Nirmala UI" w:cs="Nirmala UI"/>
                <w:sz w:val="20"/>
              </w:rPr>
            </w:pPr>
            <w:r w:rsidRPr="00812990">
              <w:rPr>
                <w:rFonts w:ascii="Nirmala UI" w:hAnsi="Nirmala UI" w:cs="Nirmala UI"/>
                <w:sz w:val="20"/>
              </w:rPr>
              <w:t>Law Governing the Contract</w:t>
            </w:r>
          </w:p>
        </w:tc>
        <w:tc>
          <w:tcPr>
            <w:tcW w:w="7791" w:type="dxa"/>
          </w:tcPr>
          <w:p w:rsidR="00C53723" w:rsidRPr="00812990" w:rsidRDefault="00C53723" w:rsidP="00C53723">
            <w:pPr>
              <w:ind w:right="13"/>
              <w:jc w:val="both"/>
              <w:rPr>
                <w:rFonts w:ascii="Nirmala UI" w:hAnsi="Nirmala UI" w:cs="Nirmala UI"/>
                <w:sz w:val="20"/>
              </w:rPr>
            </w:pPr>
            <w:r w:rsidRPr="00812990">
              <w:rPr>
                <w:rFonts w:ascii="Nirmala UI" w:hAnsi="Nirmala UI" w:cs="Nirmala UI"/>
                <w:sz w:val="20"/>
              </w:rPr>
              <w:t>Contract, including all matters connected with contract, shall be governed by the Indian Law, both substantive and procedural, for the time being in force including modification thereto, and shall be subject to the exclusive jurisdiction of the Indian courts at Bangalore.</w:t>
            </w:r>
          </w:p>
        </w:tc>
      </w:tr>
      <w:tr w:rsidR="00C53723" w:rsidRPr="0049629A" w:rsidTr="003361B2">
        <w:trPr>
          <w:trHeight w:val="392"/>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812990" w:rsidRDefault="00C53723" w:rsidP="00C53723">
            <w:pPr>
              <w:ind w:left="-108"/>
              <w:rPr>
                <w:rFonts w:ascii="Nirmala UI" w:hAnsi="Nirmala UI" w:cs="Nirmala UI"/>
                <w:sz w:val="20"/>
              </w:rPr>
            </w:pPr>
            <w:r w:rsidRPr="00812990">
              <w:rPr>
                <w:rFonts w:ascii="Nirmala UI" w:hAnsi="Nirmala UI" w:cs="Nirmala UI"/>
                <w:sz w:val="20"/>
              </w:rPr>
              <w:t>Court of Jurisdiction</w:t>
            </w:r>
          </w:p>
        </w:tc>
        <w:tc>
          <w:tcPr>
            <w:tcW w:w="7791" w:type="dxa"/>
          </w:tcPr>
          <w:p w:rsidR="00C53723" w:rsidRPr="00812990" w:rsidRDefault="00C53723" w:rsidP="00C53723">
            <w:pPr>
              <w:ind w:right="13"/>
              <w:jc w:val="both"/>
              <w:rPr>
                <w:rFonts w:ascii="Nirmala UI" w:hAnsi="Nirmala UI" w:cs="Nirmala UI"/>
                <w:sz w:val="20"/>
              </w:rPr>
            </w:pPr>
            <w:r w:rsidRPr="00812990">
              <w:rPr>
                <w:rFonts w:ascii="Nirmala UI" w:hAnsi="Nirmala UI" w:cs="Nirmala UI"/>
                <w:sz w:val="20"/>
              </w:rPr>
              <w:t>Courts at Bangalore shall have exclusive jurisdiction to decide the dispute, if any, arising out of or in respect of the contract(s) to which these conditions are applicable.</w:t>
            </w:r>
          </w:p>
        </w:tc>
      </w:tr>
      <w:tr w:rsidR="00C53723" w:rsidRPr="0049629A" w:rsidTr="003361B2">
        <w:trPr>
          <w:trHeight w:val="185"/>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pStyle w:val="TableParagraph"/>
              <w:ind w:left="-86" w:right="96"/>
              <w:rPr>
                <w:rFonts w:ascii="Nirmala UI" w:hAnsi="Nirmala UI" w:cs="Nirmala UI"/>
                <w:color w:val="000000" w:themeColor="text1"/>
                <w:sz w:val="20"/>
                <w:szCs w:val="20"/>
              </w:rPr>
            </w:pPr>
            <w:r w:rsidRPr="0049629A">
              <w:rPr>
                <w:rFonts w:ascii="Nirmala UI" w:hAnsi="Nirmala UI" w:cs="Nirmala UI"/>
                <w:color w:val="000000" w:themeColor="text1"/>
                <w:sz w:val="20"/>
                <w:szCs w:val="20"/>
              </w:rPr>
              <w:t>Preference to Make in India</w:t>
            </w:r>
          </w:p>
        </w:tc>
        <w:tc>
          <w:tcPr>
            <w:tcW w:w="7791" w:type="dxa"/>
            <w:vAlign w:val="center"/>
          </w:tcPr>
          <w:p w:rsidR="00C92ACE" w:rsidRPr="00C92ACE" w:rsidRDefault="00C92ACE" w:rsidP="00C92ACE">
            <w:pPr>
              <w:pStyle w:val="TableParagraph"/>
              <w:ind w:left="0"/>
              <w:rPr>
                <w:rFonts w:ascii="Nirmala UI" w:hAnsi="Nirmala UI" w:cs="Nirmala UI"/>
                <w:sz w:val="20"/>
                <w:szCs w:val="20"/>
              </w:rPr>
            </w:pPr>
            <w:r w:rsidRPr="00C92ACE">
              <w:rPr>
                <w:rFonts w:ascii="Nirmala UI" w:hAnsi="Nirmala UI" w:cs="Nirmala UI"/>
                <w:sz w:val="20"/>
                <w:szCs w:val="20"/>
              </w:rPr>
              <w:t>This Tender is governed by Circular No. P-45021/2/2017-B.E.-II dated 15.06.2017, 28.05.2018 &amp; 29.05.2019 issued by Govt. of India (copy enclosed).</w:t>
            </w:r>
          </w:p>
          <w:p w:rsidR="00C92ACE" w:rsidRPr="00C92ACE" w:rsidRDefault="00C92ACE" w:rsidP="00C92ACE">
            <w:pPr>
              <w:autoSpaceDE w:val="0"/>
              <w:autoSpaceDN w:val="0"/>
              <w:adjustRightInd w:val="0"/>
              <w:rPr>
                <w:rFonts w:ascii="Nirmala UI" w:eastAsia="Calibri" w:hAnsi="Nirmala UI" w:cs="Nirmala UI"/>
                <w:sz w:val="20"/>
                <w:lang w:bidi="ar-SA"/>
              </w:rPr>
            </w:pPr>
            <w:r w:rsidRPr="00C92ACE">
              <w:rPr>
                <w:rFonts w:ascii="Nirmala UI" w:eastAsia="Calibri" w:hAnsi="Nirmala UI" w:cs="Nirmala UI"/>
                <w:sz w:val="20"/>
                <w:lang w:bidi="ar-SA"/>
              </w:rPr>
              <w:t>“For this procurement, Public Procurement (Preference to Make in India), Order 2017 dated 15.06.2017, 28.05.2018 &amp; 29.05.2019 and subsequent Orders issued by the respective Nodal Ministry shall be applicable even if issued after issue of this NIT but before finalization of contract/ POI WO against this NIT.  In the event of any Nodal Ministry prescribing higher or lower percentage of purchase preference and/ or local content in respect of this procurement, same shall be applicable."</w:t>
            </w:r>
          </w:p>
          <w:p w:rsidR="00C92ACE" w:rsidRPr="00C92ACE" w:rsidRDefault="00C92ACE" w:rsidP="00C92ACE">
            <w:pPr>
              <w:autoSpaceDE w:val="0"/>
              <w:autoSpaceDN w:val="0"/>
              <w:adjustRightInd w:val="0"/>
              <w:rPr>
                <w:rFonts w:ascii="Nirmala UI" w:hAnsi="Nirmala UI" w:cs="Nirmala UI"/>
                <w:sz w:val="20"/>
                <w:lang w:val="en-IN"/>
              </w:rPr>
            </w:pPr>
            <w:r w:rsidRPr="00C92ACE">
              <w:rPr>
                <w:rFonts w:ascii="Nirmala UI" w:hAnsi="Nirmala UI" w:cs="Nirmala UI"/>
                <w:sz w:val="20"/>
                <w:lang w:val="en-IN"/>
              </w:rPr>
              <w:t>Preference to Make in India including counter offering will be as per the Public Procurement (Preference to Make in India), Order 2017 available in the following links:</w:t>
            </w:r>
          </w:p>
          <w:p w:rsidR="00C92ACE" w:rsidRPr="00C92ACE" w:rsidRDefault="00D76741" w:rsidP="00C92ACE">
            <w:pPr>
              <w:autoSpaceDE w:val="0"/>
              <w:autoSpaceDN w:val="0"/>
              <w:adjustRightInd w:val="0"/>
              <w:rPr>
                <w:rFonts w:ascii="Nirmala UI" w:hAnsi="Nirmala UI" w:cs="Nirmala UI"/>
                <w:sz w:val="20"/>
                <w:lang w:val="en-IN"/>
              </w:rPr>
            </w:pPr>
            <w:hyperlink r:id="rId11" w:history="1">
              <w:r w:rsidR="00C92ACE" w:rsidRPr="00C92ACE">
                <w:rPr>
                  <w:rStyle w:val="Hyperlink"/>
                  <w:rFonts w:ascii="Nirmala UI" w:hAnsi="Nirmala UI" w:cs="Nirmala UI"/>
                  <w:sz w:val="20"/>
                  <w:lang w:val="en-IN"/>
                </w:rPr>
                <w:t>https://dipp.gov.in/sites/default/files/publicProcurement_MakeinIndia_15June2017.pdf</w:t>
              </w:r>
            </w:hyperlink>
            <w:r w:rsidR="00C92ACE" w:rsidRPr="00C92ACE">
              <w:rPr>
                <w:rFonts w:ascii="Nirmala UI" w:hAnsi="Nirmala UI" w:cs="Nirmala UI"/>
                <w:sz w:val="20"/>
                <w:lang w:val="en-IN"/>
              </w:rPr>
              <w:t xml:space="preserve">  </w:t>
            </w:r>
          </w:p>
          <w:p w:rsidR="00C92ACE" w:rsidRPr="00C92ACE" w:rsidRDefault="00D76741" w:rsidP="00C92ACE">
            <w:pPr>
              <w:autoSpaceDE w:val="0"/>
              <w:autoSpaceDN w:val="0"/>
              <w:adjustRightInd w:val="0"/>
              <w:rPr>
                <w:rFonts w:ascii="Nirmala UI" w:hAnsi="Nirmala UI" w:cs="Nirmala UI"/>
                <w:sz w:val="20"/>
                <w:lang w:val="en-IN"/>
              </w:rPr>
            </w:pPr>
            <w:hyperlink r:id="rId12" w:history="1">
              <w:r w:rsidR="00C92ACE" w:rsidRPr="00C92ACE">
                <w:rPr>
                  <w:rStyle w:val="Hyperlink"/>
                  <w:rFonts w:ascii="Nirmala UI" w:hAnsi="Nirmala UI" w:cs="Nirmala UI"/>
                  <w:sz w:val="20"/>
                  <w:lang w:val="en-IN"/>
                </w:rPr>
                <w:t>https://dipp.gov.in/sites/default/files/Revised-PPP-MII-Order-2017_28052018.pdf</w:t>
              </w:r>
            </w:hyperlink>
            <w:r w:rsidR="00C92ACE" w:rsidRPr="00C92ACE">
              <w:rPr>
                <w:rFonts w:ascii="Nirmala UI" w:hAnsi="Nirmala UI" w:cs="Nirmala UI"/>
                <w:sz w:val="20"/>
                <w:lang w:val="en-IN"/>
              </w:rPr>
              <w:t xml:space="preserve">  </w:t>
            </w:r>
          </w:p>
          <w:p w:rsidR="00C53723" w:rsidRPr="00C92ACE" w:rsidRDefault="00D76741" w:rsidP="00C92ACE">
            <w:pPr>
              <w:autoSpaceDE w:val="0"/>
              <w:autoSpaceDN w:val="0"/>
              <w:adjustRightInd w:val="0"/>
              <w:jc w:val="both"/>
              <w:rPr>
                <w:rFonts w:ascii="Nirmala UI" w:hAnsi="Nirmala UI" w:cs="Nirmala UI"/>
                <w:i/>
                <w:iCs/>
                <w:color w:val="000000" w:themeColor="text1"/>
                <w:sz w:val="20"/>
                <w:lang w:val="en-IN"/>
              </w:rPr>
            </w:pPr>
            <w:hyperlink r:id="rId13" w:history="1">
              <w:r w:rsidR="00C92ACE" w:rsidRPr="00C92ACE">
                <w:rPr>
                  <w:rStyle w:val="Hyperlink"/>
                  <w:rFonts w:ascii="Nirmala UI" w:hAnsi="Nirmala UI" w:cs="Nirmala UI"/>
                  <w:sz w:val="20"/>
                  <w:lang w:val="en-IN"/>
                </w:rPr>
                <w:t>https://dipp.gov.in/sites/default/files/PPP-MII%20Order%20dt%2029th%20May%2019_0.pdf</w:t>
              </w:r>
            </w:hyperlink>
          </w:p>
        </w:tc>
      </w:tr>
      <w:tr w:rsidR="00C53723" w:rsidRPr="0049629A" w:rsidTr="003361B2">
        <w:trPr>
          <w:trHeight w:val="185"/>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F9220D">
            <w:pPr>
              <w:pStyle w:val="TableParagraph"/>
              <w:ind w:left="-86" w:right="96"/>
              <w:rPr>
                <w:rFonts w:ascii="Nirmala UI" w:hAnsi="Nirmala UI" w:cs="Nirmala UI"/>
                <w:color w:val="000000" w:themeColor="text1"/>
                <w:sz w:val="20"/>
                <w:szCs w:val="20"/>
              </w:rPr>
            </w:pPr>
            <w:r w:rsidRPr="0049629A">
              <w:rPr>
                <w:rFonts w:ascii="Nirmala UI" w:hAnsi="Nirmala UI" w:cs="Nirmala UI"/>
                <w:color w:val="000000" w:themeColor="text1"/>
                <w:sz w:val="20"/>
                <w:szCs w:val="20"/>
              </w:rPr>
              <w:t>Provisions</w:t>
            </w:r>
            <w:r w:rsidR="00F9220D">
              <w:rPr>
                <w:rFonts w:ascii="Nirmala UI" w:hAnsi="Nirmala UI" w:cs="Nirmala UI"/>
                <w:color w:val="000000" w:themeColor="text1"/>
                <w:sz w:val="20"/>
                <w:szCs w:val="20"/>
              </w:rPr>
              <w:t xml:space="preserve"> Applicable for M</w:t>
            </w:r>
            <w:r w:rsidRPr="0049629A">
              <w:rPr>
                <w:rFonts w:ascii="Nirmala UI" w:hAnsi="Nirmala UI" w:cs="Nirmala UI"/>
                <w:color w:val="000000" w:themeColor="text1"/>
                <w:sz w:val="20"/>
                <w:szCs w:val="20"/>
              </w:rPr>
              <w:t xml:space="preserve">SE </w:t>
            </w:r>
            <w:r w:rsidR="00F9220D">
              <w:rPr>
                <w:rFonts w:ascii="Nirmala UI" w:hAnsi="Nirmala UI" w:cs="Nirmala UI"/>
                <w:color w:val="000000" w:themeColor="text1"/>
                <w:sz w:val="20"/>
                <w:szCs w:val="20"/>
              </w:rPr>
              <w:t>(Micro and Small Enterprises) V</w:t>
            </w:r>
            <w:r w:rsidRPr="0049629A">
              <w:rPr>
                <w:rFonts w:ascii="Nirmala UI" w:hAnsi="Nirmala UI" w:cs="Nirmala UI"/>
                <w:color w:val="000000" w:themeColor="text1"/>
                <w:sz w:val="20"/>
                <w:szCs w:val="20"/>
              </w:rPr>
              <w:t>endors</w:t>
            </w:r>
          </w:p>
        </w:tc>
        <w:tc>
          <w:tcPr>
            <w:tcW w:w="7791" w:type="dxa"/>
            <w:vAlign w:val="center"/>
          </w:tcPr>
          <w:p w:rsidR="00C92ACE" w:rsidRPr="00C92ACE" w:rsidRDefault="00C92ACE" w:rsidP="00C92ACE">
            <w:pPr>
              <w:jc w:val="both"/>
              <w:rPr>
                <w:rFonts w:ascii="Nirmala UI" w:hAnsi="Nirmala UI" w:cs="Nirmala UI"/>
                <w:b/>
                <w:bCs/>
                <w:color w:val="000000" w:themeColor="text1"/>
                <w:sz w:val="20"/>
              </w:rPr>
            </w:pPr>
            <w:r w:rsidRPr="00C92ACE">
              <w:rPr>
                <w:rFonts w:ascii="Nirmala UI" w:hAnsi="Nirmala UI" w:cs="Nirmala UI"/>
                <w:b/>
                <w:bCs/>
                <w:color w:val="000000" w:themeColor="text1"/>
                <w:sz w:val="20"/>
              </w:rPr>
              <w:t>PROVISONS APPLICABLE FOR MSE VENDORS (MICRO AND SMALL ENTERPRISES)</w:t>
            </w:r>
          </w:p>
          <w:p w:rsidR="00C92ACE" w:rsidRPr="00C92ACE" w:rsidRDefault="00C92ACE" w:rsidP="00C92ACE">
            <w:pPr>
              <w:jc w:val="both"/>
              <w:rPr>
                <w:rFonts w:ascii="Nirmala UI" w:hAnsi="Nirmala UI" w:cs="Nirmala UI"/>
                <w:color w:val="000000" w:themeColor="text1"/>
                <w:sz w:val="20"/>
              </w:rPr>
            </w:pPr>
            <w:r w:rsidRPr="00C92ACE">
              <w:rPr>
                <w:rFonts w:ascii="Nirmala UI" w:hAnsi="Nirmala UI" w:cs="Nirmala UI"/>
                <w:color w:val="000000" w:themeColor="text1"/>
                <w:sz w:val="20"/>
              </w:rPr>
              <w:t>Vendors who qualify as MSE vendors are requested to submit applicable certificates (as specified by the Ministry of Micro, Small and Medium Enterprises) at the time of vendor registration. Vendors have to submit any of the following documents along with the tender documents in the Part I / Technical bid cover to avail the applicable benefits.</w:t>
            </w:r>
          </w:p>
          <w:p w:rsidR="00C92ACE" w:rsidRPr="00C92ACE" w:rsidRDefault="00C92ACE" w:rsidP="00C92ACE">
            <w:pPr>
              <w:pStyle w:val="ListParagraph"/>
              <w:numPr>
                <w:ilvl w:val="1"/>
                <w:numId w:val="31"/>
              </w:numPr>
              <w:adjustRightInd w:val="0"/>
              <w:ind w:left="172"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Valid NSIC certificate or</w:t>
            </w:r>
          </w:p>
          <w:p w:rsidR="00C92ACE" w:rsidRPr="00C92ACE" w:rsidRDefault="00C92ACE" w:rsidP="00C92ACE">
            <w:pPr>
              <w:pStyle w:val="ListParagraph"/>
              <w:numPr>
                <w:ilvl w:val="1"/>
                <w:numId w:val="31"/>
              </w:numPr>
              <w:adjustRightInd w:val="0"/>
              <w:ind w:left="172"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Entrepreneur’s Memorandum part II (EM II) certificate (deemed valid for 2 years).</w:t>
            </w:r>
          </w:p>
          <w:p w:rsidR="00C92ACE" w:rsidRPr="00C92ACE" w:rsidRDefault="00C92ACE" w:rsidP="00C92ACE">
            <w:pPr>
              <w:pStyle w:val="ListParagraph"/>
              <w:numPr>
                <w:ilvl w:val="1"/>
                <w:numId w:val="31"/>
              </w:numPr>
              <w:adjustRightInd w:val="0"/>
              <w:ind w:left="172"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EM II certificate with CA certificate (in the prescribed format given in Annexure VIII) applicable for the year certifying that the investment in plant and machinery of the vendor is within permissible limits as per the MSME Act 2006 for relevant status where the deemed validity is over.</w:t>
            </w:r>
          </w:p>
          <w:p w:rsidR="00C92ACE" w:rsidRDefault="00C92ACE" w:rsidP="00C92ACE">
            <w:pPr>
              <w:pStyle w:val="ListParagraph"/>
              <w:numPr>
                <w:ilvl w:val="1"/>
                <w:numId w:val="31"/>
              </w:numPr>
              <w:adjustRightInd w:val="0"/>
              <w:ind w:left="172"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 xml:space="preserve">Documents submitted for establishing the credentials of MSE vendors must be valid as on the date of Part I / technical bid opening for the vendors to be eligible for the </w:t>
            </w:r>
            <w:r w:rsidRPr="00C92ACE">
              <w:rPr>
                <w:rFonts w:ascii="Nirmala UI" w:eastAsia="Calibri" w:hAnsi="Nirmala UI" w:cs="Nirmala UI"/>
                <w:color w:val="000000" w:themeColor="text1"/>
                <w:sz w:val="20"/>
                <w:lang w:bidi="ar-SA"/>
              </w:rPr>
              <w:lastRenderedPageBreak/>
              <w:t>benefits applicable for MSE vendors. Documents submitted after the Part I / Technical bid opening date will not be considered for this tender.</w:t>
            </w:r>
          </w:p>
          <w:p w:rsidR="00C92ACE" w:rsidRPr="00C92ACE" w:rsidRDefault="00C92ACE" w:rsidP="00C92ACE">
            <w:pPr>
              <w:jc w:val="both"/>
              <w:rPr>
                <w:rFonts w:ascii="Nirmala UI" w:hAnsi="Nirmala UI" w:cs="Nirmala UI"/>
                <w:b/>
                <w:bCs/>
                <w:color w:val="000000" w:themeColor="text1"/>
                <w:sz w:val="20"/>
              </w:rPr>
            </w:pPr>
            <w:r w:rsidRPr="00C92ACE">
              <w:rPr>
                <w:rFonts w:ascii="Nirmala UI" w:hAnsi="Nirmala UI" w:cs="Nirmala UI"/>
                <w:b/>
                <w:bCs/>
                <w:color w:val="000000" w:themeColor="text1"/>
                <w:sz w:val="20"/>
              </w:rPr>
              <w:t>PURCHASE PREFERENCE FOR MSE VENDORS:</w:t>
            </w:r>
          </w:p>
          <w:p w:rsidR="00C92ACE" w:rsidRPr="00C92ACE" w:rsidRDefault="00C92ACE" w:rsidP="00C92ACE">
            <w:pPr>
              <w:pStyle w:val="ListParagraph"/>
              <w:numPr>
                <w:ilvl w:val="1"/>
                <w:numId w:val="31"/>
              </w:numPr>
              <w:adjustRightInd w:val="0"/>
              <w:ind w:left="172"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MSE vendors quoting within a price band of L1 + 15% shall be allowed to supply up to 25% of the requirement against this tender provided. Minimum of 3% reservation for women owned MSEs within the above mentioned 25% reservation.</w:t>
            </w:r>
          </w:p>
          <w:p w:rsidR="00C92ACE" w:rsidRPr="00C92ACE" w:rsidRDefault="00C92ACE" w:rsidP="00C92ACE">
            <w:pPr>
              <w:pStyle w:val="ListParagraph"/>
              <w:adjustRightInd w:val="0"/>
              <w:ind w:left="172"/>
              <w:jc w:val="both"/>
              <w:rPr>
                <w:rFonts w:ascii="Nirmala UI" w:eastAsia="Calibri" w:hAnsi="Nirmala UI" w:cs="Nirmala UI"/>
                <w:color w:val="000000" w:themeColor="text1"/>
                <w:sz w:val="20"/>
                <w:lang w:bidi="ar-SA"/>
              </w:rPr>
            </w:pPr>
          </w:p>
          <w:p w:rsidR="00C92ACE" w:rsidRPr="00C92ACE" w:rsidRDefault="00C92ACE" w:rsidP="00C92ACE">
            <w:pPr>
              <w:pStyle w:val="ListParagraph"/>
              <w:numPr>
                <w:ilvl w:val="0"/>
                <w:numId w:val="32"/>
              </w:numPr>
              <w:adjustRightInd w:val="0"/>
              <w:ind w:left="318"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The MSE vendor matches the L1 price.</w:t>
            </w:r>
          </w:p>
          <w:p w:rsidR="00C92ACE" w:rsidRPr="00C92ACE" w:rsidRDefault="00C92ACE" w:rsidP="00C92ACE">
            <w:pPr>
              <w:pStyle w:val="ListParagraph"/>
              <w:numPr>
                <w:ilvl w:val="0"/>
                <w:numId w:val="32"/>
              </w:numPr>
              <w:adjustRightInd w:val="0"/>
              <w:ind w:left="318"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L1 price is from a non MSE vendor.</w:t>
            </w:r>
          </w:p>
          <w:p w:rsidR="00C92ACE" w:rsidRPr="00C92ACE" w:rsidRDefault="00C92ACE" w:rsidP="00C92ACE">
            <w:pPr>
              <w:pStyle w:val="ListParagraph"/>
              <w:numPr>
                <w:ilvl w:val="0"/>
                <w:numId w:val="32"/>
              </w:numPr>
              <w:adjustRightInd w:val="0"/>
              <w:ind w:left="318"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L1 price will be offered to the nearest vendor nearest to L1 in terms of price ranking (L2 - nearest to L1). In case of non-acceptance by the MSE vendor (L2) next ranking MSE vendor will be offered who is within the L1 + 15% band (if L3 is also within 15% band).</w:t>
            </w:r>
          </w:p>
          <w:p w:rsidR="00C92ACE" w:rsidRPr="00C92ACE" w:rsidRDefault="00C92ACE" w:rsidP="00C92ACE">
            <w:pPr>
              <w:pStyle w:val="ListParagraph"/>
              <w:numPr>
                <w:ilvl w:val="0"/>
                <w:numId w:val="32"/>
              </w:numPr>
              <w:adjustRightInd w:val="0"/>
              <w:ind w:left="318"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25% of the 25% (i.e. 6.25% of the total enquired quantity) will be earmarked for SC/ST owned MSE firms provided conditions as mentioned in (1) and (2) are fulfilled.</w:t>
            </w:r>
          </w:p>
          <w:p w:rsidR="00C92ACE" w:rsidRPr="00C92ACE" w:rsidRDefault="00C92ACE" w:rsidP="00C92ACE">
            <w:pPr>
              <w:pStyle w:val="ListParagraph"/>
              <w:numPr>
                <w:ilvl w:val="0"/>
                <w:numId w:val="32"/>
              </w:numPr>
              <w:adjustRightInd w:val="0"/>
              <w:ind w:left="318" w:hanging="172"/>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 xml:space="preserve">In case no vendor under SC / ST category firms are meeting the conditions mentioned in (1) and (2) or have not participated in the tender, in such cases the 6.25% quantity will be distributed among the other eligible MSE vendors who have participated in the tender. </w:t>
            </w:r>
          </w:p>
          <w:p w:rsidR="00C74DDB" w:rsidRPr="0049629A" w:rsidRDefault="00C92ACE" w:rsidP="00C92ACE">
            <w:pPr>
              <w:adjustRightInd w:val="0"/>
              <w:jc w:val="both"/>
              <w:rPr>
                <w:rFonts w:ascii="Nirmala UI" w:eastAsia="Calibri" w:hAnsi="Nirmala UI" w:cs="Nirmala UI"/>
                <w:color w:val="000000" w:themeColor="text1"/>
                <w:sz w:val="20"/>
                <w:lang w:bidi="ar-SA"/>
              </w:rPr>
            </w:pPr>
            <w:r w:rsidRPr="00C92ACE">
              <w:rPr>
                <w:rFonts w:ascii="Nirmala UI" w:eastAsia="Calibri" w:hAnsi="Nirmala UI" w:cs="Nirmala UI"/>
                <w:color w:val="000000" w:themeColor="text1"/>
                <w:sz w:val="20"/>
                <w:lang w:bidi="ar-SA"/>
              </w:rPr>
              <w:t>Serial no. 1 to 5 will not be applicable wherever it is not possible to split the tendered quantity / items on account of customer contract requirement, or the items tendered are systems. Such information that tendered quantity will not be split will be indicated in the SCC.</w:t>
            </w:r>
          </w:p>
        </w:tc>
      </w:tr>
      <w:tr w:rsidR="004C1991" w:rsidRPr="0049629A" w:rsidTr="003361B2">
        <w:trPr>
          <w:trHeight w:val="185"/>
        </w:trPr>
        <w:tc>
          <w:tcPr>
            <w:tcW w:w="562" w:type="dxa"/>
            <w:vAlign w:val="center"/>
          </w:tcPr>
          <w:p w:rsidR="004C1991" w:rsidRPr="0049629A" w:rsidRDefault="004C1991"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4C1991" w:rsidRPr="0049629A" w:rsidRDefault="004C1991" w:rsidP="00C53723">
            <w:pPr>
              <w:rPr>
                <w:rFonts w:ascii="Nirmala UI" w:hAnsi="Nirmala UI" w:cs="Nirmala UI"/>
                <w:sz w:val="20"/>
              </w:rPr>
            </w:pPr>
            <w:r>
              <w:rPr>
                <w:rFonts w:ascii="Nirmala UI" w:hAnsi="Nirmala UI" w:cs="Nirmala UI"/>
                <w:sz w:val="20"/>
              </w:rPr>
              <w:t xml:space="preserve">Evaluation of </w:t>
            </w:r>
            <w:r w:rsidR="008B64C2">
              <w:rPr>
                <w:rFonts w:ascii="Nirmala UI" w:hAnsi="Nirmala UI" w:cs="Nirmala UI"/>
                <w:sz w:val="20"/>
              </w:rPr>
              <w:t>Offer</w:t>
            </w:r>
          </w:p>
        </w:tc>
        <w:tc>
          <w:tcPr>
            <w:tcW w:w="7791" w:type="dxa"/>
            <w:vAlign w:val="center"/>
          </w:tcPr>
          <w:p w:rsidR="004C1991" w:rsidRPr="0049629A" w:rsidRDefault="008B64C2" w:rsidP="008B64C2">
            <w:pPr>
              <w:jc w:val="both"/>
              <w:rPr>
                <w:rFonts w:ascii="Nirmala UI" w:eastAsia="Calibri" w:hAnsi="Nirmala UI" w:cs="Nirmala UI"/>
                <w:sz w:val="20"/>
                <w:lang w:bidi="ar-SA"/>
              </w:rPr>
            </w:pPr>
            <w:r w:rsidRPr="008B64C2">
              <w:rPr>
                <w:rFonts w:ascii="Nirmala UI" w:hAnsi="Nirmala UI" w:cs="Nirmala UI"/>
                <w:sz w:val="20"/>
              </w:rPr>
              <w:t>Evaluation of offers shall be done for each line item separately as per GTC Cl. 6.</w:t>
            </w:r>
          </w:p>
        </w:tc>
      </w:tr>
      <w:tr w:rsidR="003361B2" w:rsidRPr="0049629A" w:rsidTr="003361B2">
        <w:trPr>
          <w:trHeight w:val="185"/>
        </w:trPr>
        <w:tc>
          <w:tcPr>
            <w:tcW w:w="562" w:type="dxa"/>
            <w:vAlign w:val="center"/>
          </w:tcPr>
          <w:p w:rsidR="003361B2" w:rsidRPr="0049629A" w:rsidRDefault="003361B2" w:rsidP="003361B2">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3361B2" w:rsidRPr="003361B2" w:rsidRDefault="003361B2" w:rsidP="003361B2">
            <w:pPr>
              <w:rPr>
                <w:rFonts w:ascii="Nirmala UI" w:hAnsi="Nirmala UI" w:cs="Nirmala UI"/>
                <w:sz w:val="20"/>
              </w:rPr>
            </w:pPr>
            <w:r w:rsidRPr="003361B2">
              <w:rPr>
                <w:rFonts w:ascii="Nirmala UI" w:hAnsi="Nirmala UI" w:cs="Nirmala UI"/>
                <w:sz w:val="20"/>
              </w:rPr>
              <w:t>Reverse Auction</w:t>
            </w:r>
          </w:p>
        </w:tc>
        <w:tc>
          <w:tcPr>
            <w:tcW w:w="7791" w:type="dxa"/>
            <w:vAlign w:val="center"/>
          </w:tcPr>
          <w:p w:rsidR="003361B2" w:rsidRPr="003361B2" w:rsidRDefault="003361B2" w:rsidP="003361B2">
            <w:pPr>
              <w:jc w:val="both"/>
              <w:rPr>
                <w:rFonts w:ascii="Nirmala UI" w:hAnsi="Nirmala UI" w:cs="Nirmala UI"/>
                <w:sz w:val="20"/>
              </w:rPr>
            </w:pPr>
            <w:r w:rsidRPr="003361B2">
              <w:rPr>
                <w:rFonts w:ascii="Nirmala UI" w:hAnsi="Nirmala UI" w:cs="Nirmala UI"/>
                <w:sz w:val="20"/>
              </w:rPr>
              <w:t>Not Applicable</w:t>
            </w:r>
            <w:r w:rsidR="008B64C2">
              <w:rPr>
                <w:rFonts w:ascii="Nirmala UI" w:hAnsi="Nirmala UI" w:cs="Nirmala UI"/>
                <w:sz w:val="20"/>
              </w:rPr>
              <w:t>.</w:t>
            </w:r>
          </w:p>
        </w:tc>
      </w:tr>
      <w:tr w:rsidR="003361B2" w:rsidRPr="0049629A" w:rsidTr="003361B2">
        <w:trPr>
          <w:trHeight w:val="185"/>
        </w:trPr>
        <w:tc>
          <w:tcPr>
            <w:tcW w:w="562" w:type="dxa"/>
            <w:vAlign w:val="center"/>
          </w:tcPr>
          <w:p w:rsidR="003361B2" w:rsidRPr="0049629A" w:rsidRDefault="003361B2" w:rsidP="003361B2">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3361B2" w:rsidRPr="003361B2" w:rsidRDefault="003361B2" w:rsidP="003361B2">
            <w:pPr>
              <w:rPr>
                <w:rFonts w:ascii="Nirmala UI" w:hAnsi="Nirmala UI" w:cs="Nirmala UI"/>
                <w:sz w:val="20"/>
              </w:rPr>
            </w:pPr>
            <w:r w:rsidRPr="003361B2">
              <w:rPr>
                <w:rFonts w:ascii="Nirmala UI" w:hAnsi="Nirmala UI" w:cs="Nirmala UI"/>
                <w:sz w:val="20"/>
              </w:rPr>
              <w:t>Load Sharing</w:t>
            </w:r>
          </w:p>
        </w:tc>
        <w:tc>
          <w:tcPr>
            <w:tcW w:w="7791" w:type="dxa"/>
            <w:vAlign w:val="center"/>
          </w:tcPr>
          <w:p w:rsidR="003361B2" w:rsidRPr="003361B2" w:rsidRDefault="003361B2" w:rsidP="003361B2">
            <w:pPr>
              <w:jc w:val="both"/>
              <w:rPr>
                <w:rFonts w:ascii="Nirmala UI" w:hAnsi="Nirmala UI" w:cs="Nirmala UI"/>
                <w:sz w:val="20"/>
              </w:rPr>
            </w:pPr>
            <w:r w:rsidRPr="003361B2">
              <w:rPr>
                <w:rFonts w:ascii="Nirmala UI" w:hAnsi="Nirmala UI" w:cs="Nirmala UI"/>
                <w:sz w:val="20"/>
              </w:rPr>
              <w:t>100% of the quantity will be on L-1 Vendor.</w:t>
            </w:r>
          </w:p>
          <w:p w:rsidR="003361B2" w:rsidRPr="003361B2" w:rsidRDefault="003361B2" w:rsidP="003361B2">
            <w:pPr>
              <w:jc w:val="both"/>
              <w:rPr>
                <w:rFonts w:ascii="Nirmala UI" w:hAnsi="Nirmala UI" w:cs="Nirmala UI"/>
                <w:sz w:val="20"/>
              </w:rPr>
            </w:pPr>
            <w:r w:rsidRPr="003361B2">
              <w:rPr>
                <w:rFonts w:ascii="Nirmala UI" w:hAnsi="Nirmala UI" w:cs="Nirmala UI"/>
                <w:sz w:val="20"/>
              </w:rPr>
              <w:t xml:space="preserve">Incase more than one vendor have L-1 ranking, the quantity will be distributed equally amoung such vendors. </w:t>
            </w:r>
          </w:p>
        </w:tc>
      </w:tr>
      <w:tr w:rsidR="00C53723" w:rsidRPr="0049629A" w:rsidTr="003361B2">
        <w:trPr>
          <w:trHeight w:val="185"/>
        </w:trPr>
        <w:tc>
          <w:tcPr>
            <w:tcW w:w="562" w:type="dxa"/>
            <w:vAlign w:val="center"/>
          </w:tcPr>
          <w:p w:rsidR="00C53723" w:rsidRPr="0049629A" w:rsidRDefault="00C53723" w:rsidP="00C53723">
            <w:pPr>
              <w:pStyle w:val="ListParagraph"/>
              <w:numPr>
                <w:ilvl w:val="0"/>
                <w:numId w:val="1"/>
              </w:numPr>
              <w:ind w:left="0" w:firstLine="0"/>
              <w:jc w:val="both"/>
              <w:rPr>
                <w:rFonts w:ascii="Nirmala UI" w:hAnsi="Nirmala UI" w:cs="Nirmala UI"/>
                <w:color w:val="000000" w:themeColor="text1"/>
                <w:sz w:val="20"/>
              </w:rPr>
            </w:pPr>
          </w:p>
        </w:tc>
        <w:tc>
          <w:tcPr>
            <w:tcW w:w="2557" w:type="dxa"/>
            <w:vAlign w:val="center"/>
          </w:tcPr>
          <w:p w:rsidR="00C53723" w:rsidRPr="0049629A" w:rsidRDefault="00C53723" w:rsidP="00C53723">
            <w:pPr>
              <w:rPr>
                <w:rFonts w:ascii="Nirmala UI" w:hAnsi="Nirmala UI" w:cs="Nirmala UI"/>
                <w:sz w:val="20"/>
              </w:rPr>
            </w:pPr>
            <w:r w:rsidRPr="0049629A">
              <w:rPr>
                <w:rFonts w:ascii="Nirmala UI" w:hAnsi="Nirmala UI" w:cs="Nirmala UI"/>
                <w:sz w:val="20"/>
              </w:rPr>
              <w:t>Acceptance of Order</w:t>
            </w:r>
          </w:p>
        </w:tc>
        <w:tc>
          <w:tcPr>
            <w:tcW w:w="7791" w:type="dxa"/>
            <w:vAlign w:val="center"/>
          </w:tcPr>
          <w:p w:rsidR="00C53723" w:rsidRPr="0049629A" w:rsidRDefault="00C53723" w:rsidP="00C53723">
            <w:pPr>
              <w:adjustRightInd w:val="0"/>
              <w:jc w:val="both"/>
              <w:rPr>
                <w:rFonts w:ascii="Nirmala UI" w:eastAsia="Calibri" w:hAnsi="Nirmala UI" w:cs="Nirmala UI"/>
                <w:sz w:val="20"/>
                <w:lang w:bidi="ar-SA"/>
              </w:rPr>
            </w:pPr>
            <w:r w:rsidRPr="0049629A">
              <w:rPr>
                <w:rFonts w:ascii="Nirmala UI" w:eastAsia="Calibri" w:hAnsi="Nirmala UI" w:cs="Nirmala UI"/>
                <w:sz w:val="20"/>
                <w:lang w:bidi="ar-SA"/>
              </w:rPr>
              <w:t>Seller/Contractor should acknowledge and accept the LOI/ Purchase Order issued by BHEL within 7 days of its receipt. Seller/Contractor should examine the LOI/ Purchase Order immediately upon receipt and bring to the notice of BHEL, within 7 days of receipt, any discrepancy with regard to scope of work, rates, taxes &amp; duties, agreed terms &amp; conditions etc. for due rectification. If the Seller/Contractor fails to give such intimation / acceptance within seven days, the Seller/Contractor shall be deemed to have agreed to supply the stores as per LOI/ Purchase Order.</w:t>
            </w:r>
          </w:p>
        </w:tc>
      </w:tr>
      <w:tr w:rsidR="00C92ACE" w:rsidRPr="0049629A" w:rsidTr="003361B2">
        <w:trPr>
          <w:trHeight w:val="185"/>
        </w:trPr>
        <w:tc>
          <w:tcPr>
            <w:tcW w:w="562" w:type="dxa"/>
            <w:vAlign w:val="center"/>
          </w:tcPr>
          <w:p w:rsidR="00C92ACE" w:rsidRPr="0049629A" w:rsidRDefault="00C92ACE" w:rsidP="00C92ACE">
            <w:pPr>
              <w:pStyle w:val="ListParagraph"/>
              <w:numPr>
                <w:ilvl w:val="0"/>
                <w:numId w:val="1"/>
              </w:numPr>
              <w:ind w:left="0" w:firstLine="0"/>
              <w:jc w:val="both"/>
              <w:rPr>
                <w:rFonts w:ascii="Nirmala UI" w:hAnsi="Nirmala UI" w:cs="Nirmala UI"/>
                <w:sz w:val="20"/>
              </w:rPr>
            </w:pPr>
          </w:p>
        </w:tc>
        <w:tc>
          <w:tcPr>
            <w:tcW w:w="2557" w:type="dxa"/>
            <w:vAlign w:val="center"/>
          </w:tcPr>
          <w:p w:rsidR="00C92ACE" w:rsidRPr="00C92ACE" w:rsidRDefault="00C92ACE" w:rsidP="00C92ACE">
            <w:pPr>
              <w:adjustRightInd w:val="0"/>
              <w:jc w:val="both"/>
              <w:rPr>
                <w:rFonts w:ascii="Nirmala UI" w:eastAsia="Calibri" w:hAnsi="Nirmala UI" w:cs="Nirmala UI"/>
                <w:sz w:val="20"/>
                <w:lang w:bidi="ar-SA"/>
              </w:rPr>
            </w:pPr>
            <w:r w:rsidRPr="00C92ACE">
              <w:rPr>
                <w:rFonts w:ascii="Nirmala UI" w:eastAsia="Calibri" w:hAnsi="Nirmala UI" w:cs="Nirmala UI"/>
                <w:sz w:val="20"/>
                <w:lang w:bidi="ar-SA"/>
              </w:rPr>
              <w:t>Organization Chart</w:t>
            </w:r>
          </w:p>
        </w:tc>
        <w:tc>
          <w:tcPr>
            <w:tcW w:w="7791" w:type="dxa"/>
            <w:vAlign w:val="center"/>
          </w:tcPr>
          <w:p w:rsidR="00C92ACE" w:rsidRPr="00C92ACE" w:rsidRDefault="00C92ACE" w:rsidP="00C92ACE">
            <w:pPr>
              <w:adjustRightInd w:val="0"/>
              <w:jc w:val="both"/>
              <w:rPr>
                <w:rFonts w:ascii="Nirmala UI" w:eastAsia="Calibri" w:hAnsi="Nirmala UI" w:cs="Nirmala UI"/>
                <w:sz w:val="20"/>
                <w:lang w:bidi="ar-SA"/>
              </w:rPr>
            </w:pPr>
            <w:r w:rsidRPr="00C92ACE">
              <w:rPr>
                <w:rFonts w:ascii="Nirmala UI" w:eastAsia="Calibri" w:hAnsi="Nirmala UI" w:cs="Nirmala UI"/>
                <w:sz w:val="20"/>
                <w:lang w:bidi="ar-SA"/>
              </w:rPr>
              <w:t>The Bidder shall submit the overall organization chart along with contact details/mobile no. of officials dealing with this contract package for Engineering, Quality, Supply, etc. immediately after receipt of Purchase Order.</w:t>
            </w:r>
          </w:p>
        </w:tc>
      </w:tr>
    </w:tbl>
    <w:p w:rsidR="00B47D99" w:rsidRPr="0049629A" w:rsidRDefault="00B47D99" w:rsidP="0093290B">
      <w:pPr>
        <w:autoSpaceDE w:val="0"/>
        <w:autoSpaceDN w:val="0"/>
        <w:adjustRightInd w:val="0"/>
        <w:spacing w:after="0" w:line="240" w:lineRule="auto"/>
        <w:rPr>
          <w:rFonts w:ascii="Nirmala UI" w:hAnsi="Nirmala UI" w:cs="Nirmala UI"/>
          <w:color w:val="000000" w:themeColor="text1"/>
          <w:sz w:val="20"/>
        </w:rPr>
      </w:pPr>
    </w:p>
    <w:sectPr w:rsidR="00B47D99" w:rsidRPr="0049629A" w:rsidSect="00994245">
      <w:headerReference w:type="default" r:id="rId14"/>
      <w:footerReference w:type="default" r:id="rId15"/>
      <w:pgSz w:w="12240" w:h="15840"/>
      <w:pgMar w:top="1134" w:right="851" w:bottom="851" w:left="851" w:header="28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741" w:rsidRDefault="00D76741" w:rsidP="004A4C7D">
      <w:pPr>
        <w:spacing w:after="0" w:line="240" w:lineRule="auto"/>
      </w:pPr>
      <w:r>
        <w:separator/>
      </w:r>
    </w:p>
  </w:endnote>
  <w:endnote w:type="continuationSeparator" w:id="0">
    <w:p w:rsidR="00D76741" w:rsidRDefault="00D76741"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929449"/>
      <w:docPartObj>
        <w:docPartGallery w:val="Page Numbers (Bottom of Page)"/>
        <w:docPartUnique/>
      </w:docPartObj>
    </w:sdtPr>
    <w:sdtEndPr/>
    <w:sdtContent>
      <w:sdt>
        <w:sdtPr>
          <w:id w:val="893090145"/>
          <w:docPartObj>
            <w:docPartGallery w:val="Page Numbers (Top of Page)"/>
            <w:docPartUnique/>
          </w:docPartObj>
        </w:sdtPr>
        <w:sdtEndPr/>
        <w:sdtContent>
          <w:p w:rsidR="00FA701E" w:rsidRDefault="00FA701E" w:rsidP="00FA701E">
            <w:pPr>
              <w:pStyle w:val="Footer"/>
              <w:jc w:val="right"/>
            </w:pPr>
          </w:p>
          <w:p w:rsidR="005C01AA" w:rsidRDefault="005C01AA" w:rsidP="00FA701E">
            <w:pPr>
              <w:pStyle w:val="Footer"/>
              <w:jc w:val="right"/>
            </w:pPr>
            <w:r>
              <w:t xml:space="preserve">(Seal and </w:t>
            </w:r>
            <w:r w:rsidR="00FA701E">
              <w:t>S</w:t>
            </w:r>
            <w:r>
              <w:t xml:space="preserve">ign of </w:t>
            </w:r>
            <w:r w:rsidR="00FA701E">
              <w:t xml:space="preserve">the </w:t>
            </w:r>
            <w:r>
              <w:t>Bidder)</w:t>
            </w:r>
          </w:p>
          <w:p w:rsidR="005C01AA" w:rsidRDefault="005C01AA">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E81D22">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81D22">
              <w:rPr>
                <w:b/>
                <w:noProof/>
              </w:rPr>
              <w:t>8</w:t>
            </w:r>
            <w:r>
              <w:rPr>
                <w:b/>
                <w:sz w:val="24"/>
                <w:szCs w:val="24"/>
              </w:rPr>
              <w:fldChar w:fldCharType="end"/>
            </w:r>
          </w:p>
        </w:sdtContent>
      </w:sdt>
    </w:sdtContent>
  </w:sdt>
  <w:p w:rsidR="005C01AA" w:rsidRDefault="005C01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741" w:rsidRDefault="00D76741" w:rsidP="004A4C7D">
      <w:pPr>
        <w:spacing w:after="0" w:line="240" w:lineRule="auto"/>
      </w:pPr>
      <w:r>
        <w:separator/>
      </w:r>
    </w:p>
  </w:footnote>
  <w:footnote w:type="continuationSeparator" w:id="0">
    <w:p w:rsidR="00D76741" w:rsidRDefault="00D76741" w:rsidP="004A4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881" w:type="dxa"/>
      <w:tblInd w:w="-114" w:type="dxa"/>
      <w:tblCellMar>
        <w:left w:w="28" w:type="dxa"/>
        <w:right w:w="28" w:type="dxa"/>
      </w:tblCellMar>
      <w:tblLook w:val="04A0" w:firstRow="1" w:lastRow="0" w:firstColumn="1" w:lastColumn="0" w:noHBand="0" w:noVBand="1"/>
    </w:tblPr>
    <w:tblGrid>
      <w:gridCol w:w="2643"/>
      <w:gridCol w:w="2319"/>
      <w:gridCol w:w="2268"/>
      <w:gridCol w:w="3651"/>
    </w:tblGrid>
    <w:tr w:rsidR="005C01AA" w:rsidRPr="002657C2" w:rsidTr="000F6F62">
      <w:trPr>
        <w:trHeight w:val="845"/>
      </w:trPr>
      <w:tc>
        <w:tcPr>
          <w:tcW w:w="2643" w:type="dxa"/>
          <w:vAlign w:val="center"/>
        </w:tcPr>
        <w:p w:rsidR="005C01AA" w:rsidRPr="002657C2" w:rsidRDefault="005C01AA" w:rsidP="00ED0870">
          <w:pPr>
            <w:pStyle w:val="Header"/>
            <w:jc w:val="center"/>
            <w:rPr>
              <w:rFonts w:ascii="Arial Narrow" w:hAnsi="Arial Narrow" w:cs="Arial"/>
              <w:b/>
              <w:noProof/>
              <w:sz w:val="20"/>
              <w:lang w:bidi="ar-SA"/>
            </w:rPr>
          </w:pPr>
          <w:r>
            <w:rPr>
              <w:rFonts w:ascii="Arial Narrow" w:hAnsi="Arial Narrow" w:cs="Arial"/>
              <w:b/>
              <w:noProof/>
              <w:sz w:val="20"/>
            </w:rPr>
            <w:drawing>
              <wp:inline distT="0" distB="0" distL="0" distR="0" wp14:anchorId="540A7591" wp14:editId="304D112C">
                <wp:extent cx="1643270" cy="6311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LetterHead.png"/>
                        <pic:cNvPicPr/>
                      </pic:nvPicPr>
                      <pic:blipFill rotWithShape="1">
                        <a:blip r:embed="rId1">
                          <a:extLst>
                            <a:ext uri="{28A0092B-C50C-407E-A947-70E740481C1C}">
                              <a14:useLocalDpi xmlns:a14="http://schemas.microsoft.com/office/drawing/2010/main" val="0"/>
                            </a:ext>
                          </a:extLst>
                        </a:blip>
                        <a:srcRect r="75443"/>
                        <a:stretch/>
                      </pic:blipFill>
                      <pic:spPr bwMode="auto">
                        <a:xfrm>
                          <a:off x="0" y="0"/>
                          <a:ext cx="1643270" cy="631190"/>
                        </a:xfrm>
                        <a:prstGeom prst="rect">
                          <a:avLst/>
                        </a:prstGeom>
                        <a:ln>
                          <a:noFill/>
                        </a:ln>
                        <a:extLst>
                          <a:ext uri="{53640926-AAD7-44D8-BBD7-CCE9431645EC}">
                            <a14:shadowObscured xmlns:a14="http://schemas.microsoft.com/office/drawing/2010/main"/>
                          </a:ext>
                        </a:extLst>
                      </pic:spPr>
                    </pic:pic>
                  </a:graphicData>
                </a:graphic>
              </wp:inline>
            </w:drawing>
          </w:r>
        </w:p>
      </w:tc>
      <w:tc>
        <w:tcPr>
          <w:tcW w:w="2319" w:type="dxa"/>
          <w:vAlign w:val="center"/>
        </w:tcPr>
        <w:p w:rsidR="005C01AA" w:rsidRPr="000F6F62" w:rsidRDefault="005C01AA" w:rsidP="00ED0870">
          <w:pPr>
            <w:pStyle w:val="Header"/>
            <w:jc w:val="center"/>
            <w:rPr>
              <w:rFonts w:ascii="Arial Narrow" w:hAnsi="Arial Narrow" w:cs="Arial"/>
              <w:b/>
              <w:szCs w:val="22"/>
            </w:rPr>
          </w:pPr>
          <w:r w:rsidRPr="000F6F62">
            <w:rPr>
              <w:rFonts w:ascii="Arial Narrow" w:hAnsi="Arial Narrow" w:cs="Times-Bold"/>
              <w:b/>
              <w:bCs/>
              <w:szCs w:val="22"/>
              <w:lang w:val="en-IN"/>
            </w:rPr>
            <w:t>ELECTRIC &amp; PHOTOVOLTAIC DIVISION</w:t>
          </w:r>
          <w:r>
            <w:rPr>
              <w:rFonts w:ascii="Arial Narrow" w:hAnsi="Arial Narrow" w:cs="Times-Bold"/>
              <w:b/>
              <w:bCs/>
              <w:szCs w:val="22"/>
              <w:lang w:val="en-IN"/>
            </w:rPr>
            <w:t xml:space="preserve"> (EPD)</w:t>
          </w:r>
        </w:p>
      </w:tc>
      <w:tc>
        <w:tcPr>
          <w:tcW w:w="2268" w:type="dxa"/>
          <w:vAlign w:val="center"/>
        </w:tcPr>
        <w:p w:rsidR="005C01AA" w:rsidRPr="000F6F62" w:rsidRDefault="005C01AA" w:rsidP="001C4CFA">
          <w:pPr>
            <w:pStyle w:val="Header"/>
            <w:jc w:val="center"/>
            <w:rPr>
              <w:rFonts w:ascii="Arial Narrow" w:hAnsi="Arial Narrow" w:cs="Arial"/>
              <w:b/>
              <w:szCs w:val="22"/>
            </w:rPr>
          </w:pPr>
          <w:r w:rsidRPr="000F6F62">
            <w:rPr>
              <w:rFonts w:ascii="Arial Narrow" w:hAnsi="Arial Narrow" w:cs="Arial"/>
              <w:b/>
              <w:szCs w:val="22"/>
            </w:rPr>
            <w:t>SPECIAL CONDITIONS OF CONTRACT (SCC)</w:t>
          </w:r>
        </w:p>
      </w:tc>
      <w:tc>
        <w:tcPr>
          <w:tcW w:w="3651" w:type="dxa"/>
          <w:vAlign w:val="center"/>
        </w:tcPr>
        <w:p w:rsidR="001567AE" w:rsidRDefault="001567AE" w:rsidP="001567AE">
          <w:pPr>
            <w:pStyle w:val="Header"/>
            <w:jc w:val="center"/>
            <w:rPr>
              <w:rFonts w:ascii="Arial Narrow" w:hAnsi="Arial Narrow" w:cs="Times-Bold"/>
              <w:b/>
              <w:bCs/>
              <w:szCs w:val="22"/>
              <w:lang w:val="en-IN"/>
            </w:rPr>
          </w:pPr>
          <w:r>
            <w:rPr>
              <w:rFonts w:ascii="Arial Narrow" w:hAnsi="Arial Narrow" w:cs="Times-Bold"/>
              <w:b/>
              <w:bCs/>
              <w:szCs w:val="22"/>
              <w:lang w:val="en-IN"/>
            </w:rPr>
            <w:t>INDIRECT MATERIAL</w:t>
          </w:r>
        </w:p>
        <w:p w:rsidR="001567AE" w:rsidRDefault="001567AE" w:rsidP="001567AE">
          <w:pPr>
            <w:pStyle w:val="Header"/>
            <w:jc w:val="center"/>
            <w:rPr>
              <w:rFonts w:ascii="Arial Narrow" w:hAnsi="Arial Narrow" w:cs="Times-Bold"/>
              <w:b/>
              <w:bCs/>
              <w:szCs w:val="22"/>
              <w:lang w:val="en-IN"/>
            </w:rPr>
          </w:pPr>
          <w:r>
            <w:rPr>
              <w:rFonts w:ascii="Arial Narrow" w:hAnsi="Arial Narrow" w:cs="Times-Bold"/>
              <w:b/>
              <w:bCs/>
              <w:szCs w:val="22"/>
              <w:lang w:val="en-IN"/>
            </w:rPr>
            <w:t>--------------------------------------------------------</w:t>
          </w:r>
        </w:p>
        <w:p w:rsidR="005C01AA" w:rsidRPr="00C87296" w:rsidRDefault="001C4CFA" w:rsidP="002416F5">
          <w:pPr>
            <w:pStyle w:val="Header"/>
            <w:jc w:val="center"/>
            <w:rPr>
              <w:rFonts w:ascii="Arial Narrow" w:hAnsi="Arial Narrow" w:cs="Times-Bold"/>
              <w:b/>
              <w:bCs/>
              <w:szCs w:val="22"/>
              <w:u w:val="single"/>
              <w:lang w:val="en-IN"/>
            </w:rPr>
          </w:pPr>
          <w:r w:rsidRPr="00872D91">
            <w:rPr>
              <w:rFonts w:ascii="Arial Narrow" w:hAnsi="Arial Narrow" w:cs="Times-Bold"/>
              <w:b/>
              <w:bCs/>
              <w:szCs w:val="22"/>
              <w:lang w:val="en-IN"/>
            </w:rPr>
            <w:t xml:space="preserve">TENDER NO.: </w:t>
          </w:r>
          <w:r w:rsidR="002416F5">
            <w:rPr>
              <w:rFonts w:ascii="Arial Narrow" w:hAnsi="Arial Narrow" w:cs="Times-Bold"/>
              <w:b/>
              <w:bCs/>
              <w:szCs w:val="22"/>
              <w:lang w:val="en-IN"/>
            </w:rPr>
            <w:t>30029560</w:t>
          </w:r>
        </w:p>
      </w:tc>
    </w:tr>
  </w:tbl>
  <w:p w:rsidR="005C01AA" w:rsidRPr="002657C2" w:rsidRDefault="005C01AA" w:rsidP="008D0199">
    <w:pPr>
      <w:pStyle w:val="Header"/>
      <w:rPr>
        <w:sz w:val="14"/>
        <w:szCs w:val="14"/>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C6B"/>
    <w:multiLevelType w:val="hybridMultilevel"/>
    <w:tmpl w:val="4582F9E4"/>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1">
    <w:nsid w:val="00EE6702"/>
    <w:multiLevelType w:val="hybridMultilevel"/>
    <w:tmpl w:val="0534128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03E06610"/>
    <w:multiLevelType w:val="hybridMultilevel"/>
    <w:tmpl w:val="7834067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048F161B"/>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4">
    <w:nsid w:val="05122078"/>
    <w:multiLevelType w:val="hybridMultilevel"/>
    <w:tmpl w:val="CB64715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6313528"/>
    <w:multiLevelType w:val="hybridMultilevel"/>
    <w:tmpl w:val="34A61080"/>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07FA1F5B"/>
    <w:multiLevelType w:val="hybridMultilevel"/>
    <w:tmpl w:val="4EE64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0EF03F54"/>
    <w:multiLevelType w:val="hybridMultilevel"/>
    <w:tmpl w:val="FCFABDB8"/>
    <w:lvl w:ilvl="0" w:tplc="4009000F">
      <w:start w:val="1"/>
      <w:numFmt w:val="decimal"/>
      <w:lvlText w:val="%1."/>
      <w:lvlJc w:val="left"/>
      <w:pPr>
        <w:ind w:left="366" w:hanging="360"/>
      </w:pPr>
    </w:lvl>
    <w:lvl w:ilvl="1" w:tplc="40090019" w:tentative="1">
      <w:start w:val="1"/>
      <w:numFmt w:val="lowerLetter"/>
      <w:lvlText w:val="%2."/>
      <w:lvlJc w:val="left"/>
      <w:pPr>
        <w:ind w:left="1086" w:hanging="360"/>
      </w:pPr>
    </w:lvl>
    <w:lvl w:ilvl="2" w:tplc="4009001B" w:tentative="1">
      <w:start w:val="1"/>
      <w:numFmt w:val="lowerRoman"/>
      <w:lvlText w:val="%3."/>
      <w:lvlJc w:val="right"/>
      <w:pPr>
        <w:ind w:left="1806" w:hanging="180"/>
      </w:pPr>
    </w:lvl>
    <w:lvl w:ilvl="3" w:tplc="4009000F" w:tentative="1">
      <w:start w:val="1"/>
      <w:numFmt w:val="decimal"/>
      <w:lvlText w:val="%4."/>
      <w:lvlJc w:val="left"/>
      <w:pPr>
        <w:ind w:left="2526" w:hanging="360"/>
      </w:pPr>
    </w:lvl>
    <w:lvl w:ilvl="4" w:tplc="40090019" w:tentative="1">
      <w:start w:val="1"/>
      <w:numFmt w:val="lowerLetter"/>
      <w:lvlText w:val="%5."/>
      <w:lvlJc w:val="left"/>
      <w:pPr>
        <w:ind w:left="3246" w:hanging="360"/>
      </w:pPr>
    </w:lvl>
    <w:lvl w:ilvl="5" w:tplc="4009001B" w:tentative="1">
      <w:start w:val="1"/>
      <w:numFmt w:val="lowerRoman"/>
      <w:lvlText w:val="%6."/>
      <w:lvlJc w:val="right"/>
      <w:pPr>
        <w:ind w:left="3966" w:hanging="180"/>
      </w:pPr>
    </w:lvl>
    <w:lvl w:ilvl="6" w:tplc="4009000F" w:tentative="1">
      <w:start w:val="1"/>
      <w:numFmt w:val="decimal"/>
      <w:lvlText w:val="%7."/>
      <w:lvlJc w:val="left"/>
      <w:pPr>
        <w:ind w:left="4686" w:hanging="360"/>
      </w:pPr>
    </w:lvl>
    <w:lvl w:ilvl="7" w:tplc="40090019" w:tentative="1">
      <w:start w:val="1"/>
      <w:numFmt w:val="lowerLetter"/>
      <w:lvlText w:val="%8."/>
      <w:lvlJc w:val="left"/>
      <w:pPr>
        <w:ind w:left="5406" w:hanging="360"/>
      </w:pPr>
    </w:lvl>
    <w:lvl w:ilvl="8" w:tplc="4009001B" w:tentative="1">
      <w:start w:val="1"/>
      <w:numFmt w:val="lowerRoman"/>
      <w:lvlText w:val="%9."/>
      <w:lvlJc w:val="right"/>
      <w:pPr>
        <w:ind w:left="6126" w:hanging="180"/>
      </w:pPr>
    </w:lvl>
  </w:abstractNum>
  <w:abstractNum w:abstractNumId="8">
    <w:nsid w:val="1084552F"/>
    <w:multiLevelType w:val="hybridMultilevel"/>
    <w:tmpl w:val="5AB68D8A"/>
    <w:lvl w:ilvl="0" w:tplc="894A3D32">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4D0EAF"/>
    <w:multiLevelType w:val="hybridMultilevel"/>
    <w:tmpl w:val="3D80AA74"/>
    <w:lvl w:ilvl="0" w:tplc="96301872">
      <w:start w:val="1"/>
      <w:numFmt w:val="lowerLetter"/>
      <w:lvlText w:val="%1)"/>
      <w:lvlJc w:val="left"/>
      <w:pPr>
        <w:ind w:left="827" w:hanging="360"/>
      </w:pPr>
      <w:rPr>
        <w:rFonts w:hint="default"/>
        <w:b w:val="0"/>
        <w:bCs/>
        <w:spacing w:val="-1"/>
        <w:w w:val="100"/>
      </w:rPr>
    </w:lvl>
    <w:lvl w:ilvl="1" w:tplc="BC1AC804">
      <w:numFmt w:val="bullet"/>
      <w:lvlText w:val="•"/>
      <w:lvlJc w:val="left"/>
      <w:pPr>
        <w:ind w:left="1871" w:hanging="360"/>
      </w:pPr>
      <w:rPr>
        <w:rFonts w:hint="default"/>
      </w:rPr>
    </w:lvl>
    <w:lvl w:ilvl="2" w:tplc="C76ACB42">
      <w:numFmt w:val="bullet"/>
      <w:lvlText w:val="•"/>
      <w:lvlJc w:val="left"/>
      <w:pPr>
        <w:ind w:left="2923" w:hanging="360"/>
      </w:pPr>
      <w:rPr>
        <w:rFonts w:hint="default"/>
      </w:rPr>
    </w:lvl>
    <w:lvl w:ilvl="3" w:tplc="450642BC">
      <w:numFmt w:val="bullet"/>
      <w:lvlText w:val="•"/>
      <w:lvlJc w:val="left"/>
      <w:pPr>
        <w:ind w:left="3974" w:hanging="360"/>
      </w:pPr>
      <w:rPr>
        <w:rFonts w:hint="default"/>
      </w:rPr>
    </w:lvl>
    <w:lvl w:ilvl="4" w:tplc="AD2CE756">
      <w:numFmt w:val="bullet"/>
      <w:lvlText w:val="•"/>
      <w:lvlJc w:val="left"/>
      <w:pPr>
        <w:ind w:left="5026" w:hanging="360"/>
      </w:pPr>
      <w:rPr>
        <w:rFonts w:hint="default"/>
      </w:rPr>
    </w:lvl>
    <w:lvl w:ilvl="5" w:tplc="92683272">
      <w:numFmt w:val="bullet"/>
      <w:lvlText w:val="•"/>
      <w:lvlJc w:val="left"/>
      <w:pPr>
        <w:ind w:left="6077" w:hanging="360"/>
      </w:pPr>
      <w:rPr>
        <w:rFonts w:hint="default"/>
      </w:rPr>
    </w:lvl>
    <w:lvl w:ilvl="6" w:tplc="9E54872C">
      <w:numFmt w:val="bullet"/>
      <w:lvlText w:val="•"/>
      <w:lvlJc w:val="left"/>
      <w:pPr>
        <w:ind w:left="7129" w:hanging="360"/>
      </w:pPr>
      <w:rPr>
        <w:rFonts w:hint="default"/>
      </w:rPr>
    </w:lvl>
    <w:lvl w:ilvl="7" w:tplc="119028E6">
      <w:numFmt w:val="bullet"/>
      <w:lvlText w:val="•"/>
      <w:lvlJc w:val="left"/>
      <w:pPr>
        <w:ind w:left="8180" w:hanging="360"/>
      </w:pPr>
      <w:rPr>
        <w:rFonts w:hint="default"/>
      </w:rPr>
    </w:lvl>
    <w:lvl w:ilvl="8" w:tplc="67DE0E54">
      <w:numFmt w:val="bullet"/>
      <w:lvlText w:val="•"/>
      <w:lvlJc w:val="left"/>
      <w:pPr>
        <w:ind w:left="9232" w:hanging="360"/>
      </w:pPr>
      <w:rPr>
        <w:rFonts w:hint="default"/>
      </w:rPr>
    </w:lvl>
  </w:abstractNum>
  <w:abstractNum w:abstractNumId="10">
    <w:nsid w:val="1DC96D9F"/>
    <w:multiLevelType w:val="multilevel"/>
    <w:tmpl w:val="90129EC6"/>
    <w:lvl w:ilvl="0">
      <w:start w:val="4"/>
      <w:numFmt w:val="decimal"/>
      <w:lvlText w:val="%1"/>
      <w:lvlJc w:val="left"/>
      <w:pPr>
        <w:ind w:left="467" w:hanging="360"/>
      </w:pPr>
      <w:rPr>
        <w:rFonts w:hint="default"/>
      </w:rPr>
    </w:lvl>
    <w:lvl w:ilvl="1">
      <w:start w:val="1"/>
      <w:numFmt w:val="decimal"/>
      <w:lvlText w:val="%1.%2"/>
      <w:lvlJc w:val="left"/>
      <w:pPr>
        <w:ind w:left="1353" w:hanging="360"/>
      </w:pPr>
      <w:rPr>
        <w:rFonts w:ascii="Arial Narrow" w:eastAsia="Calibri" w:hAnsi="Arial Narrow" w:cs="Calibri" w:hint="default"/>
        <w:b w:val="0"/>
        <w:bCs w:val="0"/>
        <w:spacing w:val="-2"/>
        <w:w w:val="100"/>
        <w:sz w:val="20"/>
        <w:szCs w:val="20"/>
      </w:rPr>
    </w:lvl>
    <w:lvl w:ilvl="2">
      <w:start w:val="1"/>
      <w:numFmt w:val="bullet"/>
      <w:lvlText w:val=""/>
      <w:lvlJc w:val="left"/>
      <w:pPr>
        <w:ind w:left="827" w:hanging="720"/>
      </w:pPr>
      <w:rPr>
        <w:rFonts w:ascii="Symbol" w:hAnsi="Symbol"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1">
    <w:nsid w:val="20D548D2"/>
    <w:multiLevelType w:val="hybridMultilevel"/>
    <w:tmpl w:val="B2D07C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25FD18AD"/>
    <w:multiLevelType w:val="hybridMultilevel"/>
    <w:tmpl w:val="B608D1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93F09A1"/>
    <w:multiLevelType w:val="hybridMultilevel"/>
    <w:tmpl w:val="58A4F244"/>
    <w:lvl w:ilvl="0" w:tplc="6BD072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94A2A11"/>
    <w:multiLevelType w:val="hybridMultilevel"/>
    <w:tmpl w:val="FCFABD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B2A29DD"/>
    <w:multiLevelType w:val="hybridMultilevel"/>
    <w:tmpl w:val="64D4B65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302C44AE"/>
    <w:multiLevelType w:val="multilevel"/>
    <w:tmpl w:val="9E20C9F0"/>
    <w:lvl w:ilvl="0">
      <w:start w:val="5"/>
      <w:numFmt w:val="decimal"/>
      <w:lvlText w:val="%1"/>
      <w:lvlJc w:val="left"/>
      <w:pPr>
        <w:ind w:left="107" w:hanging="333"/>
      </w:pPr>
      <w:rPr>
        <w:rFonts w:hint="default"/>
      </w:rPr>
    </w:lvl>
    <w:lvl w:ilvl="1">
      <w:numFmt w:val="decimal"/>
      <w:lvlText w:val="%1.%2"/>
      <w:lvlJc w:val="left"/>
      <w:pPr>
        <w:ind w:left="107" w:hanging="333"/>
      </w:pPr>
      <w:rPr>
        <w:rFonts w:hint="default"/>
        <w:b w:val="0"/>
        <w:bCs w:val="0"/>
        <w:spacing w:val="-2"/>
        <w:w w:val="100"/>
      </w:rPr>
    </w:lvl>
    <w:lvl w:ilvl="2">
      <w:numFmt w:val="bullet"/>
      <w:lvlText w:val="•"/>
      <w:lvlJc w:val="left"/>
      <w:pPr>
        <w:ind w:left="960" w:hanging="333"/>
      </w:pPr>
      <w:rPr>
        <w:rFonts w:hint="default"/>
      </w:rPr>
    </w:lvl>
    <w:lvl w:ilvl="3">
      <w:numFmt w:val="bullet"/>
      <w:lvlText w:val="•"/>
      <w:lvlJc w:val="left"/>
      <w:pPr>
        <w:ind w:left="1390" w:hanging="333"/>
      </w:pPr>
      <w:rPr>
        <w:rFonts w:hint="default"/>
      </w:rPr>
    </w:lvl>
    <w:lvl w:ilvl="4">
      <w:numFmt w:val="bullet"/>
      <w:lvlText w:val="•"/>
      <w:lvlJc w:val="left"/>
      <w:pPr>
        <w:ind w:left="1820" w:hanging="333"/>
      </w:pPr>
      <w:rPr>
        <w:rFonts w:hint="default"/>
      </w:rPr>
    </w:lvl>
    <w:lvl w:ilvl="5">
      <w:numFmt w:val="bullet"/>
      <w:lvlText w:val="•"/>
      <w:lvlJc w:val="left"/>
      <w:pPr>
        <w:ind w:left="2251" w:hanging="333"/>
      </w:pPr>
      <w:rPr>
        <w:rFonts w:hint="default"/>
      </w:rPr>
    </w:lvl>
    <w:lvl w:ilvl="6">
      <w:numFmt w:val="bullet"/>
      <w:lvlText w:val="•"/>
      <w:lvlJc w:val="left"/>
      <w:pPr>
        <w:ind w:left="2681" w:hanging="333"/>
      </w:pPr>
      <w:rPr>
        <w:rFonts w:hint="default"/>
      </w:rPr>
    </w:lvl>
    <w:lvl w:ilvl="7">
      <w:numFmt w:val="bullet"/>
      <w:lvlText w:val="•"/>
      <w:lvlJc w:val="left"/>
      <w:pPr>
        <w:ind w:left="3111" w:hanging="333"/>
      </w:pPr>
      <w:rPr>
        <w:rFonts w:hint="default"/>
      </w:rPr>
    </w:lvl>
    <w:lvl w:ilvl="8">
      <w:numFmt w:val="bullet"/>
      <w:lvlText w:val="•"/>
      <w:lvlJc w:val="left"/>
      <w:pPr>
        <w:ind w:left="3541" w:hanging="333"/>
      </w:pPr>
      <w:rPr>
        <w:rFonts w:hint="default"/>
      </w:rPr>
    </w:lvl>
  </w:abstractNum>
  <w:abstractNum w:abstractNumId="17">
    <w:nsid w:val="30654703"/>
    <w:multiLevelType w:val="hybridMultilevel"/>
    <w:tmpl w:val="251AA4CC"/>
    <w:lvl w:ilvl="0" w:tplc="40090019">
      <w:start w:val="1"/>
      <w:numFmt w:val="lowerLetter"/>
      <w:lvlText w:val="%1."/>
      <w:lvlJc w:val="left"/>
      <w:pPr>
        <w:ind w:left="634" w:hanging="360"/>
      </w:pPr>
    </w:lvl>
    <w:lvl w:ilvl="1" w:tplc="40090019">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8">
    <w:nsid w:val="336F780B"/>
    <w:multiLevelType w:val="multilevel"/>
    <w:tmpl w:val="5A225738"/>
    <w:lvl w:ilvl="0">
      <w:start w:val="4"/>
      <w:numFmt w:val="decimal"/>
      <w:lvlText w:val="%1"/>
      <w:lvlJc w:val="left"/>
      <w:pPr>
        <w:ind w:left="467" w:hanging="360"/>
      </w:pPr>
      <w:rPr>
        <w:rFonts w:hint="default"/>
      </w:rPr>
    </w:lvl>
    <w:lvl w:ilvl="1">
      <w:start w:val="4"/>
      <w:numFmt w:val="decimal"/>
      <w:lvlText w:val="%1.%2"/>
      <w:lvlJc w:val="left"/>
      <w:pPr>
        <w:ind w:left="1353"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9">
    <w:nsid w:val="37685E0C"/>
    <w:multiLevelType w:val="multilevel"/>
    <w:tmpl w:val="0BC4DC6C"/>
    <w:lvl w:ilvl="0">
      <w:start w:val="4"/>
      <w:numFmt w:val="decimal"/>
      <w:lvlText w:val="%1"/>
      <w:lvlJc w:val="left"/>
      <w:pPr>
        <w:ind w:left="467" w:hanging="360"/>
      </w:pPr>
      <w:rPr>
        <w:rFonts w:hint="default"/>
      </w:rPr>
    </w:lvl>
    <w:lvl w:ilvl="1">
      <w:start w:val="1"/>
      <w:numFmt w:val="decimal"/>
      <w:lvlText w:val="%1.%2"/>
      <w:lvlJc w:val="left"/>
      <w:pPr>
        <w:ind w:left="1353"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20">
    <w:nsid w:val="3A65748E"/>
    <w:multiLevelType w:val="hybridMultilevel"/>
    <w:tmpl w:val="75DA87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BBB2DC8"/>
    <w:multiLevelType w:val="hybridMultilevel"/>
    <w:tmpl w:val="8EB076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BCA66FB"/>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3">
    <w:nsid w:val="3CBF367A"/>
    <w:multiLevelType w:val="hybridMultilevel"/>
    <w:tmpl w:val="329868E8"/>
    <w:lvl w:ilvl="0" w:tplc="2A486C0E">
      <w:start w:val="1"/>
      <w:numFmt w:val="lowerLetter"/>
      <w:lvlText w:val="%1)"/>
      <w:lvlJc w:val="left"/>
      <w:pPr>
        <w:ind w:left="814" w:hanging="360"/>
      </w:pPr>
      <w:rPr>
        <w:rFonts w:ascii="Arial Narrow" w:eastAsia="Calibri" w:hAnsi="Arial Narrow" w:cs="Calibri" w:hint="default"/>
        <w:spacing w:val="-1"/>
        <w:w w:val="100"/>
        <w:sz w:val="20"/>
        <w:szCs w:val="20"/>
      </w:rPr>
    </w:lvl>
    <w:lvl w:ilvl="1" w:tplc="B3EA9832">
      <w:numFmt w:val="bullet"/>
      <w:lvlText w:val="•"/>
      <w:lvlJc w:val="left"/>
      <w:pPr>
        <w:ind w:left="1165" w:hanging="360"/>
      </w:pPr>
      <w:rPr>
        <w:rFonts w:hint="default"/>
      </w:rPr>
    </w:lvl>
    <w:lvl w:ilvl="2" w:tplc="5B368CEE">
      <w:numFmt w:val="bullet"/>
      <w:lvlText w:val="•"/>
      <w:lvlJc w:val="left"/>
      <w:pPr>
        <w:ind w:left="1523" w:hanging="360"/>
      </w:pPr>
      <w:rPr>
        <w:rFonts w:hint="default"/>
      </w:rPr>
    </w:lvl>
    <w:lvl w:ilvl="3" w:tplc="030C55B0">
      <w:numFmt w:val="bullet"/>
      <w:lvlText w:val="•"/>
      <w:lvlJc w:val="left"/>
      <w:pPr>
        <w:ind w:left="1881" w:hanging="360"/>
      </w:pPr>
      <w:rPr>
        <w:rFonts w:hint="default"/>
      </w:rPr>
    </w:lvl>
    <w:lvl w:ilvl="4" w:tplc="DCEE2C4A">
      <w:numFmt w:val="bullet"/>
      <w:lvlText w:val="•"/>
      <w:lvlJc w:val="left"/>
      <w:pPr>
        <w:ind w:left="2239" w:hanging="360"/>
      </w:pPr>
      <w:rPr>
        <w:rFonts w:hint="default"/>
      </w:rPr>
    </w:lvl>
    <w:lvl w:ilvl="5" w:tplc="8826B07C">
      <w:numFmt w:val="bullet"/>
      <w:lvlText w:val="•"/>
      <w:lvlJc w:val="left"/>
      <w:pPr>
        <w:ind w:left="2598" w:hanging="360"/>
      </w:pPr>
      <w:rPr>
        <w:rFonts w:hint="default"/>
      </w:rPr>
    </w:lvl>
    <w:lvl w:ilvl="6" w:tplc="F6129F7E">
      <w:numFmt w:val="bullet"/>
      <w:lvlText w:val="•"/>
      <w:lvlJc w:val="left"/>
      <w:pPr>
        <w:ind w:left="2956" w:hanging="360"/>
      </w:pPr>
      <w:rPr>
        <w:rFonts w:hint="default"/>
      </w:rPr>
    </w:lvl>
    <w:lvl w:ilvl="7" w:tplc="207C9F18">
      <w:numFmt w:val="bullet"/>
      <w:lvlText w:val="•"/>
      <w:lvlJc w:val="left"/>
      <w:pPr>
        <w:ind w:left="3314" w:hanging="360"/>
      </w:pPr>
      <w:rPr>
        <w:rFonts w:hint="default"/>
      </w:rPr>
    </w:lvl>
    <w:lvl w:ilvl="8" w:tplc="F78A037C">
      <w:numFmt w:val="bullet"/>
      <w:lvlText w:val="•"/>
      <w:lvlJc w:val="left"/>
      <w:pPr>
        <w:ind w:left="3672" w:hanging="360"/>
      </w:pPr>
      <w:rPr>
        <w:rFonts w:hint="default"/>
      </w:rPr>
    </w:lvl>
  </w:abstractNum>
  <w:abstractNum w:abstractNumId="24">
    <w:nsid w:val="3F1C609D"/>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5">
    <w:nsid w:val="41105764"/>
    <w:multiLevelType w:val="hybridMultilevel"/>
    <w:tmpl w:val="F1222ABE"/>
    <w:lvl w:ilvl="0" w:tplc="79B6AAA0">
      <w:start w:val="1"/>
      <w:numFmt w:val="lowerLetter"/>
      <w:lvlText w:val="(%1)"/>
      <w:lvlJc w:val="left"/>
      <w:pPr>
        <w:ind w:left="720" w:hanging="360"/>
      </w:pPr>
      <w:rPr>
        <w:rFonts w:hint="default"/>
        <w:b w:val="0"/>
      </w:rPr>
    </w:lvl>
    <w:lvl w:ilvl="1" w:tplc="34482584">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20E4776"/>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7">
    <w:nsid w:val="4DBE3B83"/>
    <w:multiLevelType w:val="hybridMultilevel"/>
    <w:tmpl w:val="89144DF6"/>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54C84C15"/>
    <w:multiLevelType w:val="hybridMultilevel"/>
    <w:tmpl w:val="16CE2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557E0CF2"/>
    <w:multiLevelType w:val="hybridMultilevel"/>
    <w:tmpl w:val="1846A8E2"/>
    <w:lvl w:ilvl="0" w:tplc="4F8C0182">
      <w:start w:val="1"/>
      <w:numFmt w:val="decimal"/>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30">
    <w:nsid w:val="5DD46709"/>
    <w:multiLevelType w:val="hybridMultilevel"/>
    <w:tmpl w:val="07545A88"/>
    <w:lvl w:ilvl="0" w:tplc="4009000F">
      <w:start w:val="1"/>
      <w:numFmt w:val="decimal"/>
      <w:lvlText w:val="%1."/>
      <w:lvlJc w:val="left"/>
      <w:pPr>
        <w:ind w:left="634" w:hanging="360"/>
      </w:p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31">
    <w:nsid w:val="6062513E"/>
    <w:multiLevelType w:val="hybridMultilevel"/>
    <w:tmpl w:val="E7680E4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0A02B95"/>
    <w:multiLevelType w:val="hybridMultilevel"/>
    <w:tmpl w:val="543E3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1F54981"/>
    <w:multiLevelType w:val="hybridMultilevel"/>
    <w:tmpl w:val="45B0D554"/>
    <w:lvl w:ilvl="0" w:tplc="4009000F">
      <w:start w:val="1"/>
      <w:numFmt w:val="decimal"/>
      <w:lvlText w:val="%1."/>
      <w:lvlJc w:val="left"/>
      <w:pPr>
        <w:ind w:left="389" w:hanging="360"/>
      </w:p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4">
    <w:nsid w:val="6C20552B"/>
    <w:multiLevelType w:val="hybridMultilevel"/>
    <w:tmpl w:val="EC4822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6C930043"/>
    <w:multiLevelType w:val="hybridMultilevel"/>
    <w:tmpl w:val="329868E8"/>
    <w:lvl w:ilvl="0" w:tplc="2A486C0E">
      <w:start w:val="1"/>
      <w:numFmt w:val="lowerLetter"/>
      <w:lvlText w:val="%1)"/>
      <w:lvlJc w:val="left"/>
      <w:pPr>
        <w:ind w:left="1187" w:hanging="360"/>
      </w:pPr>
      <w:rPr>
        <w:rFonts w:ascii="Arial Narrow" w:eastAsia="Calibri" w:hAnsi="Arial Narrow" w:cs="Calibri" w:hint="default"/>
        <w:spacing w:val="-1"/>
        <w:w w:val="100"/>
        <w:sz w:val="20"/>
        <w:szCs w:val="20"/>
      </w:rPr>
    </w:lvl>
    <w:lvl w:ilvl="1" w:tplc="B3EA9832">
      <w:numFmt w:val="bullet"/>
      <w:lvlText w:val="•"/>
      <w:lvlJc w:val="left"/>
      <w:pPr>
        <w:ind w:left="1538" w:hanging="360"/>
      </w:pPr>
      <w:rPr>
        <w:rFonts w:hint="default"/>
      </w:rPr>
    </w:lvl>
    <w:lvl w:ilvl="2" w:tplc="5B368CEE">
      <w:numFmt w:val="bullet"/>
      <w:lvlText w:val="•"/>
      <w:lvlJc w:val="left"/>
      <w:pPr>
        <w:ind w:left="1896" w:hanging="360"/>
      </w:pPr>
      <w:rPr>
        <w:rFonts w:hint="default"/>
      </w:rPr>
    </w:lvl>
    <w:lvl w:ilvl="3" w:tplc="030C55B0">
      <w:numFmt w:val="bullet"/>
      <w:lvlText w:val="•"/>
      <w:lvlJc w:val="left"/>
      <w:pPr>
        <w:ind w:left="2254" w:hanging="360"/>
      </w:pPr>
      <w:rPr>
        <w:rFonts w:hint="default"/>
      </w:rPr>
    </w:lvl>
    <w:lvl w:ilvl="4" w:tplc="DCEE2C4A">
      <w:numFmt w:val="bullet"/>
      <w:lvlText w:val="•"/>
      <w:lvlJc w:val="left"/>
      <w:pPr>
        <w:ind w:left="2612" w:hanging="360"/>
      </w:pPr>
      <w:rPr>
        <w:rFonts w:hint="default"/>
      </w:rPr>
    </w:lvl>
    <w:lvl w:ilvl="5" w:tplc="8826B07C">
      <w:numFmt w:val="bullet"/>
      <w:lvlText w:val="•"/>
      <w:lvlJc w:val="left"/>
      <w:pPr>
        <w:ind w:left="2971" w:hanging="360"/>
      </w:pPr>
      <w:rPr>
        <w:rFonts w:hint="default"/>
      </w:rPr>
    </w:lvl>
    <w:lvl w:ilvl="6" w:tplc="F6129F7E">
      <w:numFmt w:val="bullet"/>
      <w:lvlText w:val="•"/>
      <w:lvlJc w:val="left"/>
      <w:pPr>
        <w:ind w:left="3329" w:hanging="360"/>
      </w:pPr>
      <w:rPr>
        <w:rFonts w:hint="default"/>
      </w:rPr>
    </w:lvl>
    <w:lvl w:ilvl="7" w:tplc="207C9F18">
      <w:numFmt w:val="bullet"/>
      <w:lvlText w:val="•"/>
      <w:lvlJc w:val="left"/>
      <w:pPr>
        <w:ind w:left="3687" w:hanging="360"/>
      </w:pPr>
      <w:rPr>
        <w:rFonts w:hint="default"/>
      </w:rPr>
    </w:lvl>
    <w:lvl w:ilvl="8" w:tplc="F78A037C">
      <w:numFmt w:val="bullet"/>
      <w:lvlText w:val="•"/>
      <w:lvlJc w:val="left"/>
      <w:pPr>
        <w:ind w:left="4045" w:hanging="360"/>
      </w:pPr>
      <w:rPr>
        <w:rFonts w:hint="default"/>
      </w:rPr>
    </w:lvl>
  </w:abstractNum>
  <w:abstractNum w:abstractNumId="36">
    <w:nsid w:val="6CA83D60"/>
    <w:multiLevelType w:val="hybridMultilevel"/>
    <w:tmpl w:val="7EB2FC76"/>
    <w:lvl w:ilvl="0" w:tplc="40090001">
      <w:start w:val="1"/>
      <w:numFmt w:val="bullet"/>
      <w:lvlText w:val=""/>
      <w:lvlJc w:val="left"/>
      <w:pPr>
        <w:ind w:left="389" w:hanging="360"/>
      </w:pPr>
      <w:rPr>
        <w:rFonts w:ascii="Symbol" w:hAnsi="Symbol" w:hint="default"/>
      </w:rPr>
    </w:lvl>
    <w:lvl w:ilvl="1" w:tplc="40090003" w:tentative="1">
      <w:start w:val="1"/>
      <w:numFmt w:val="bullet"/>
      <w:lvlText w:val="o"/>
      <w:lvlJc w:val="left"/>
      <w:pPr>
        <w:ind w:left="1109" w:hanging="360"/>
      </w:pPr>
      <w:rPr>
        <w:rFonts w:ascii="Courier New" w:hAnsi="Courier New" w:cs="Courier New" w:hint="default"/>
      </w:rPr>
    </w:lvl>
    <w:lvl w:ilvl="2" w:tplc="40090005" w:tentative="1">
      <w:start w:val="1"/>
      <w:numFmt w:val="bullet"/>
      <w:lvlText w:val=""/>
      <w:lvlJc w:val="left"/>
      <w:pPr>
        <w:ind w:left="1829" w:hanging="360"/>
      </w:pPr>
      <w:rPr>
        <w:rFonts w:ascii="Wingdings" w:hAnsi="Wingdings" w:hint="default"/>
      </w:rPr>
    </w:lvl>
    <w:lvl w:ilvl="3" w:tplc="40090001" w:tentative="1">
      <w:start w:val="1"/>
      <w:numFmt w:val="bullet"/>
      <w:lvlText w:val=""/>
      <w:lvlJc w:val="left"/>
      <w:pPr>
        <w:ind w:left="2549" w:hanging="360"/>
      </w:pPr>
      <w:rPr>
        <w:rFonts w:ascii="Symbol" w:hAnsi="Symbol" w:hint="default"/>
      </w:rPr>
    </w:lvl>
    <w:lvl w:ilvl="4" w:tplc="40090003" w:tentative="1">
      <w:start w:val="1"/>
      <w:numFmt w:val="bullet"/>
      <w:lvlText w:val="o"/>
      <w:lvlJc w:val="left"/>
      <w:pPr>
        <w:ind w:left="3269" w:hanging="360"/>
      </w:pPr>
      <w:rPr>
        <w:rFonts w:ascii="Courier New" w:hAnsi="Courier New" w:cs="Courier New" w:hint="default"/>
      </w:rPr>
    </w:lvl>
    <w:lvl w:ilvl="5" w:tplc="40090005" w:tentative="1">
      <w:start w:val="1"/>
      <w:numFmt w:val="bullet"/>
      <w:lvlText w:val=""/>
      <w:lvlJc w:val="left"/>
      <w:pPr>
        <w:ind w:left="3989" w:hanging="360"/>
      </w:pPr>
      <w:rPr>
        <w:rFonts w:ascii="Wingdings" w:hAnsi="Wingdings" w:hint="default"/>
      </w:rPr>
    </w:lvl>
    <w:lvl w:ilvl="6" w:tplc="40090001" w:tentative="1">
      <w:start w:val="1"/>
      <w:numFmt w:val="bullet"/>
      <w:lvlText w:val=""/>
      <w:lvlJc w:val="left"/>
      <w:pPr>
        <w:ind w:left="4709" w:hanging="360"/>
      </w:pPr>
      <w:rPr>
        <w:rFonts w:ascii="Symbol" w:hAnsi="Symbol" w:hint="default"/>
      </w:rPr>
    </w:lvl>
    <w:lvl w:ilvl="7" w:tplc="40090003" w:tentative="1">
      <w:start w:val="1"/>
      <w:numFmt w:val="bullet"/>
      <w:lvlText w:val="o"/>
      <w:lvlJc w:val="left"/>
      <w:pPr>
        <w:ind w:left="5429" w:hanging="360"/>
      </w:pPr>
      <w:rPr>
        <w:rFonts w:ascii="Courier New" w:hAnsi="Courier New" w:cs="Courier New" w:hint="default"/>
      </w:rPr>
    </w:lvl>
    <w:lvl w:ilvl="8" w:tplc="40090005" w:tentative="1">
      <w:start w:val="1"/>
      <w:numFmt w:val="bullet"/>
      <w:lvlText w:val=""/>
      <w:lvlJc w:val="left"/>
      <w:pPr>
        <w:ind w:left="6149" w:hanging="360"/>
      </w:pPr>
      <w:rPr>
        <w:rFonts w:ascii="Wingdings" w:hAnsi="Wingdings" w:hint="default"/>
      </w:rPr>
    </w:lvl>
  </w:abstractNum>
  <w:abstractNum w:abstractNumId="37">
    <w:nsid w:val="727D77EB"/>
    <w:multiLevelType w:val="hybridMultilevel"/>
    <w:tmpl w:val="8E584D56"/>
    <w:lvl w:ilvl="0" w:tplc="04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nsid w:val="76C6554A"/>
    <w:multiLevelType w:val="multilevel"/>
    <w:tmpl w:val="C570CEDA"/>
    <w:lvl w:ilvl="0">
      <w:start w:val="9"/>
      <w:numFmt w:val="decimal"/>
      <w:lvlText w:val="%1"/>
      <w:lvlJc w:val="left"/>
      <w:pPr>
        <w:ind w:left="107" w:hanging="730"/>
      </w:pPr>
      <w:rPr>
        <w:rFonts w:hint="default"/>
      </w:rPr>
    </w:lvl>
    <w:lvl w:ilvl="1">
      <w:start w:val="7"/>
      <w:numFmt w:val="decimal"/>
      <w:lvlText w:val="%1.%2"/>
      <w:lvlJc w:val="left"/>
      <w:pPr>
        <w:ind w:left="107" w:hanging="730"/>
      </w:pPr>
      <w:rPr>
        <w:rFonts w:hint="default"/>
        <w:spacing w:val="-1"/>
        <w:w w:val="100"/>
      </w:rPr>
    </w:lvl>
    <w:lvl w:ilvl="2">
      <w:start w:val="1"/>
      <w:numFmt w:val="decimal"/>
      <w:lvlText w:val="%3."/>
      <w:lvlJc w:val="left"/>
      <w:pPr>
        <w:ind w:left="827" w:hanging="360"/>
      </w:pPr>
      <w:rPr>
        <w:rFonts w:ascii="Arial Narrow" w:eastAsia="Calibri" w:hAnsi="Arial Narrow" w:cs="Times New Roman" w:hint="default"/>
        <w:w w:val="100"/>
        <w:sz w:val="20"/>
        <w:szCs w:val="20"/>
      </w:rPr>
    </w:lvl>
    <w:lvl w:ilvl="3">
      <w:numFmt w:val="bullet"/>
      <w:lvlText w:val="•"/>
      <w:lvlJc w:val="left"/>
      <w:pPr>
        <w:ind w:left="1616" w:hanging="360"/>
      </w:pPr>
      <w:rPr>
        <w:rFonts w:hint="default"/>
      </w:rPr>
    </w:lvl>
    <w:lvl w:ilvl="4">
      <w:numFmt w:val="bullet"/>
      <w:lvlText w:val="•"/>
      <w:lvlJc w:val="left"/>
      <w:pPr>
        <w:ind w:left="2014" w:hanging="360"/>
      </w:pPr>
      <w:rPr>
        <w:rFonts w:hint="default"/>
      </w:rPr>
    </w:lvl>
    <w:lvl w:ilvl="5">
      <w:numFmt w:val="bullet"/>
      <w:lvlText w:val="•"/>
      <w:lvlJc w:val="left"/>
      <w:pPr>
        <w:ind w:left="2412" w:hanging="360"/>
      </w:pPr>
      <w:rPr>
        <w:rFonts w:hint="default"/>
      </w:rPr>
    </w:lvl>
    <w:lvl w:ilvl="6">
      <w:numFmt w:val="bullet"/>
      <w:lvlText w:val="•"/>
      <w:lvlJc w:val="left"/>
      <w:pPr>
        <w:ind w:left="2810" w:hanging="360"/>
      </w:pPr>
      <w:rPr>
        <w:rFonts w:hint="default"/>
      </w:rPr>
    </w:lvl>
    <w:lvl w:ilvl="7">
      <w:numFmt w:val="bullet"/>
      <w:lvlText w:val="•"/>
      <w:lvlJc w:val="left"/>
      <w:pPr>
        <w:ind w:left="3208" w:hanging="360"/>
      </w:pPr>
      <w:rPr>
        <w:rFonts w:hint="default"/>
      </w:rPr>
    </w:lvl>
    <w:lvl w:ilvl="8">
      <w:numFmt w:val="bullet"/>
      <w:lvlText w:val="•"/>
      <w:lvlJc w:val="left"/>
      <w:pPr>
        <w:ind w:left="3606" w:hanging="360"/>
      </w:pPr>
      <w:rPr>
        <w:rFonts w:hint="default"/>
      </w:rPr>
    </w:lvl>
  </w:abstractNum>
  <w:abstractNum w:abstractNumId="39">
    <w:nsid w:val="77E674F5"/>
    <w:multiLevelType w:val="hybridMultilevel"/>
    <w:tmpl w:val="215AD22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8146D52"/>
    <w:multiLevelType w:val="hybridMultilevel"/>
    <w:tmpl w:val="65E445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7BEB35C4"/>
    <w:multiLevelType w:val="hybridMultilevel"/>
    <w:tmpl w:val="6DE08224"/>
    <w:lvl w:ilvl="0" w:tplc="15F0E88A">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19"/>
  </w:num>
  <w:num w:numId="3">
    <w:abstractNumId w:val="16"/>
  </w:num>
  <w:num w:numId="4">
    <w:abstractNumId w:val="38"/>
  </w:num>
  <w:num w:numId="5">
    <w:abstractNumId w:val="35"/>
  </w:num>
  <w:num w:numId="6">
    <w:abstractNumId w:val="25"/>
  </w:num>
  <w:num w:numId="7">
    <w:abstractNumId w:val="9"/>
  </w:num>
  <w:num w:numId="8">
    <w:abstractNumId w:val="14"/>
  </w:num>
  <w:num w:numId="9">
    <w:abstractNumId w:val="29"/>
  </w:num>
  <w:num w:numId="10">
    <w:abstractNumId w:val="21"/>
  </w:num>
  <w:num w:numId="11">
    <w:abstractNumId w:val="32"/>
  </w:num>
  <w:num w:numId="12">
    <w:abstractNumId w:val="41"/>
  </w:num>
  <w:num w:numId="13">
    <w:abstractNumId w:val="11"/>
  </w:num>
  <w:num w:numId="14">
    <w:abstractNumId w:val="18"/>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27"/>
  </w:num>
  <w:num w:numId="20">
    <w:abstractNumId w:val="5"/>
  </w:num>
  <w:num w:numId="21">
    <w:abstractNumId w:val="26"/>
  </w:num>
  <w:num w:numId="22">
    <w:abstractNumId w:val="24"/>
  </w:num>
  <w:num w:numId="23">
    <w:abstractNumId w:val="22"/>
  </w:num>
  <w:num w:numId="24">
    <w:abstractNumId w:val="3"/>
  </w:num>
  <w:num w:numId="25">
    <w:abstractNumId w:val="0"/>
  </w:num>
  <w:num w:numId="26">
    <w:abstractNumId w:val="39"/>
  </w:num>
  <w:num w:numId="27">
    <w:abstractNumId w:val="40"/>
  </w:num>
  <w:num w:numId="28">
    <w:abstractNumId w:val="20"/>
  </w:num>
  <w:num w:numId="29">
    <w:abstractNumId w:val="34"/>
  </w:num>
  <w:num w:numId="30">
    <w:abstractNumId w:val="28"/>
  </w:num>
  <w:num w:numId="31">
    <w:abstractNumId w:val="17"/>
  </w:num>
  <w:num w:numId="32">
    <w:abstractNumId w:val="30"/>
  </w:num>
  <w:num w:numId="33">
    <w:abstractNumId w:val="10"/>
  </w:num>
  <w:num w:numId="34">
    <w:abstractNumId w:val="23"/>
  </w:num>
  <w:num w:numId="35">
    <w:abstractNumId w:val="12"/>
  </w:num>
  <w:num w:numId="36">
    <w:abstractNumId w:val="37"/>
  </w:num>
  <w:num w:numId="37">
    <w:abstractNumId w:val="2"/>
  </w:num>
  <w:num w:numId="38">
    <w:abstractNumId w:val="36"/>
  </w:num>
  <w:num w:numId="39">
    <w:abstractNumId w:val="33"/>
  </w:num>
  <w:num w:numId="40">
    <w:abstractNumId w:val="15"/>
  </w:num>
  <w:num w:numId="41">
    <w:abstractNumId w:val="4"/>
  </w:num>
  <w:num w:numId="42">
    <w:abstractNumId w:val="31"/>
  </w:num>
  <w:num w:numId="4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C7D"/>
    <w:rsid w:val="00003385"/>
    <w:rsid w:val="0000382F"/>
    <w:rsid w:val="0000383C"/>
    <w:rsid w:val="00005E16"/>
    <w:rsid w:val="000064C5"/>
    <w:rsid w:val="00006A8B"/>
    <w:rsid w:val="00007FF8"/>
    <w:rsid w:val="00011783"/>
    <w:rsid w:val="00011E28"/>
    <w:rsid w:val="0001207B"/>
    <w:rsid w:val="00013D33"/>
    <w:rsid w:val="00015CEE"/>
    <w:rsid w:val="00016D4E"/>
    <w:rsid w:val="00016F9A"/>
    <w:rsid w:val="00017564"/>
    <w:rsid w:val="00017B2B"/>
    <w:rsid w:val="00020EAE"/>
    <w:rsid w:val="00023E54"/>
    <w:rsid w:val="000249D2"/>
    <w:rsid w:val="0002753A"/>
    <w:rsid w:val="000276F6"/>
    <w:rsid w:val="000320B4"/>
    <w:rsid w:val="000320F5"/>
    <w:rsid w:val="0003262E"/>
    <w:rsid w:val="00033027"/>
    <w:rsid w:val="0003394B"/>
    <w:rsid w:val="000342DE"/>
    <w:rsid w:val="00035C8D"/>
    <w:rsid w:val="00037FDA"/>
    <w:rsid w:val="000464F4"/>
    <w:rsid w:val="00046EF5"/>
    <w:rsid w:val="00047759"/>
    <w:rsid w:val="00047B49"/>
    <w:rsid w:val="00047F34"/>
    <w:rsid w:val="00050892"/>
    <w:rsid w:val="000543B7"/>
    <w:rsid w:val="000574FB"/>
    <w:rsid w:val="00057ED9"/>
    <w:rsid w:val="00060E64"/>
    <w:rsid w:val="0006515E"/>
    <w:rsid w:val="00065D54"/>
    <w:rsid w:val="0006605C"/>
    <w:rsid w:val="00066120"/>
    <w:rsid w:val="0007334F"/>
    <w:rsid w:val="00073ABD"/>
    <w:rsid w:val="000764C6"/>
    <w:rsid w:val="00076771"/>
    <w:rsid w:val="00076D38"/>
    <w:rsid w:val="0008218B"/>
    <w:rsid w:val="00082F07"/>
    <w:rsid w:val="000839F7"/>
    <w:rsid w:val="000842DF"/>
    <w:rsid w:val="00084A35"/>
    <w:rsid w:val="00084AE1"/>
    <w:rsid w:val="000855CA"/>
    <w:rsid w:val="0008625C"/>
    <w:rsid w:val="00090B94"/>
    <w:rsid w:val="00090F6A"/>
    <w:rsid w:val="00093099"/>
    <w:rsid w:val="0009320F"/>
    <w:rsid w:val="00093740"/>
    <w:rsid w:val="000959A5"/>
    <w:rsid w:val="000A0245"/>
    <w:rsid w:val="000A03E6"/>
    <w:rsid w:val="000A0F5E"/>
    <w:rsid w:val="000A431D"/>
    <w:rsid w:val="000B1B6D"/>
    <w:rsid w:val="000B1CF8"/>
    <w:rsid w:val="000B238D"/>
    <w:rsid w:val="000B2C31"/>
    <w:rsid w:val="000B672D"/>
    <w:rsid w:val="000B7B0C"/>
    <w:rsid w:val="000B7C4E"/>
    <w:rsid w:val="000C0068"/>
    <w:rsid w:val="000C0A9D"/>
    <w:rsid w:val="000C0CE0"/>
    <w:rsid w:val="000C183C"/>
    <w:rsid w:val="000C24C6"/>
    <w:rsid w:val="000C4655"/>
    <w:rsid w:val="000C5042"/>
    <w:rsid w:val="000C60CE"/>
    <w:rsid w:val="000C71DD"/>
    <w:rsid w:val="000D0957"/>
    <w:rsid w:val="000D0AA7"/>
    <w:rsid w:val="000D5E5A"/>
    <w:rsid w:val="000D5F6E"/>
    <w:rsid w:val="000D6923"/>
    <w:rsid w:val="000D7A66"/>
    <w:rsid w:val="000E0FE8"/>
    <w:rsid w:val="000E1031"/>
    <w:rsid w:val="000E161D"/>
    <w:rsid w:val="000E1DD6"/>
    <w:rsid w:val="000E27AA"/>
    <w:rsid w:val="000E3B0D"/>
    <w:rsid w:val="000E4B6A"/>
    <w:rsid w:val="000E5003"/>
    <w:rsid w:val="000E607B"/>
    <w:rsid w:val="000E7003"/>
    <w:rsid w:val="000F0A87"/>
    <w:rsid w:val="000F2B75"/>
    <w:rsid w:val="000F4198"/>
    <w:rsid w:val="000F6F62"/>
    <w:rsid w:val="00100248"/>
    <w:rsid w:val="00100F30"/>
    <w:rsid w:val="0010140F"/>
    <w:rsid w:val="001052F6"/>
    <w:rsid w:val="0010767D"/>
    <w:rsid w:val="00111F54"/>
    <w:rsid w:val="00112A6C"/>
    <w:rsid w:val="00112CF5"/>
    <w:rsid w:val="00113178"/>
    <w:rsid w:val="00113DA9"/>
    <w:rsid w:val="00115040"/>
    <w:rsid w:val="0011709E"/>
    <w:rsid w:val="00120DEB"/>
    <w:rsid w:val="00122995"/>
    <w:rsid w:val="00122C8D"/>
    <w:rsid w:val="00123608"/>
    <w:rsid w:val="00123EE9"/>
    <w:rsid w:val="00124315"/>
    <w:rsid w:val="00124E95"/>
    <w:rsid w:val="00127B09"/>
    <w:rsid w:val="001308D6"/>
    <w:rsid w:val="00132FE0"/>
    <w:rsid w:val="00133A0D"/>
    <w:rsid w:val="001354F1"/>
    <w:rsid w:val="001372C3"/>
    <w:rsid w:val="00137E85"/>
    <w:rsid w:val="00140213"/>
    <w:rsid w:val="0014130A"/>
    <w:rsid w:val="00143462"/>
    <w:rsid w:val="00145352"/>
    <w:rsid w:val="00145ACA"/>
    <w:rsid w:val="00150052"/>
    <w:rsid w:val="00152530"/>
    <w:rsid w:val="001567AE"/>
    <w:rsid w:val="001577FB"/>
    <w:rsid w:val="00160448"/>
    <w:rsid w:val="00161B32"/>
    <w:rsid w:val="00162663"/>
    <w:rsid w:val="00163412"/>
    <w:rsid w:val="00163B1D"/>
    <w:rsid w:val="0016551B"/>
    <w:rsid w:val="0016625A"/>
    <w:rsid w:val="0016716E"/>
    <w:rsid w:val="0016725A"/>
    <w:rsid w:val="00167AB9"/>
    <w:rsid w:val="00167C21"/>
    <w:rsid w:val="00167EF1"/>
    <w:rsid w:val="001712DC"/>
    <w:rsid w:val="001717F7"/>
    <w:rsid w:val="00171CFB"/>
    <w:rsid w:val="0017225F"/>
    <w:rsid w:val="001726FD"/>
    <w:rsid w:val="00172D8D"/>
    <w:rsid w:val="00180342"/>
    <w:rsid w:val="00180809"/>
    <w:rsid w:val="00183208"/>
    <w:rsid w:val="0018577E"/>
    <w:rsid w:val="00187C1C"/>
    <w:rsid w:val="00190A88"/>
    <w:rsid w:val="00191CB5"/>
    <w:rsid w:val="00193309"/>
    <w:rsid w:val="00193568"/>
    <w:rsid w:val="0019603D"/>
    <w:rsid w:val="00197397"/>
    <w:rsid w:val="001976D2"/>
    <w:rsid w:val="001A0313"/>
    <w:rsid w:val="001A4B64"/>
    <w:rsid w:val="001A4CA2"/>
    <w:rsid w:val="001A62C2"/>
    <w:rsid w:val="001B0CC5"/>
    <w:rsid w:val="001B0ED3"/>
    <w:rsid w:val="001B20EA"/>
    <w:rsid w:val="001B3BF6"/>
    <w:rsid w:val="001B4BCA"/>
    <w:rsid w:val="001B6ABB"/>
    <w:rsid w:val="001C1770"/>
    <w:rsid w:val="001C3D8D"/>
    <w:rsid w:val="001C46A2"/>
    <w:rsid w:val="001C4CFA"/>
    <w:rsid w:val="001C5BB4"/>
    <w:rsid w:val="001C5DCC"/>
    <w:rsid w:val="001C6531"/>
    <w:rsid w:val="001C6B92"/>
    <w:rsid w:val="001C6C43"/>
    <w:rsid w:val="001C7FC3"/>
    <w:rsid w:val="001D1CEB"/>
    <w:rsid w:val="001D2526"/>
    <w:rsid w:val="001D3DD0"/>
    <w:rsid w:val="001D4D9B"/>
    <w:rsid w:val="001D7177"/>
    <w:rsid w:val="001D763D"/>
    <w:rsid w:val="001E0950"/>
    <w:rsid w:val="001E161E"/>
    <w:rsid w:val="001E386C"/>
    <w:rsid w:val="001E429E"/>
    <w:rsid w:val="001E4494"/>
    <w:rsid w:val="001E5737"/>
    <w:rsid w:val="001F052B"/>
    <w:rsid w:val="001F1A26"/>
    <w:rsid w:val="001F3D0F"/>
    <w:rsid w:val="001F75D3"/>
    <w:rsid w:val="002013CF"/>
    <w:rsid w:val="00201C2A"/>
    <w:rsid w:val="00204394"/>
    <w:rsid w:val="002061D0"/>
    <w:rsid w:val="002063BA"/>
    <w:rsid w:val="00210802"/>
    <w:rsid w:val="00213C01"/>
    <w:rsid w:val="00215937"/>
    <w:rsid w:val="00216F1E"/>
    <w:rsid w:val="00217395"/>
    <w:rsid w:val="00217934"/>
    <w:rsid w:val="00221227"/>
    <w:rsid w:val="0022125E"/>
    <w:rsid w:val="0022290A"/>
    <w:rsid w:val="00225A43"/>
    <w:rsid w:val="00226719"/>
    <w:rsid w:val="00226C6E"/>
    <w:rsid w:val="00226D97"/>
    <w:rsid w:val="002312BE"/>
    <w:rsid w:val="0023211D"/>
    <w:rsid w:val="00235504"/>
    <w:rsid w:val="002416F5"/>
    <w:rsid w:val="00242905"/>
    <w:rsid w:val="00242A52"/>
    <w:rsid w:val="002430A0"/>
    <w:rsid w:val="00244D79"/>
    <w:rsid w:val="00246379"/>
    <w:rsid w:val="0024680B"/>
    <w:rsid w:val="00247D8D"/>
    <w:rsid w:val="0025185F"/>
    <w:rsid w:val="00251EC8"/>
    <w:rsid w:val="002522A3"/>
    <w:rsid w:val="002530D0"/>
    <w:rsid w:val="0025437B"/>
    <w:rsid w:val="00255F77"/>
    <w:rsid w:val="00256568"/>
    <w:rsid w:val="00260377"/>
    <w:rsid w:val="00265352"/>
    <w:rsid w:val="002657C2"/>
    <w:rsid w:val="0026645B"/>
    <w:rsid w:val="0026659A"/>
    <w:rsid w:val="002671A2"/>
    <w:rsid w:val="00270B53"/>
    <w:rsid w:val="00270D0D"/>
    <w:rsid w:val="0027164E"/>
    <w:rsid w:val="00271895"/>
    <w:rsid w:val="002753BE"/>
    <w:rsid w:val="00276A57"/>
    <w:rsid w:val="0027771F"/>
    <w:rsid w:val="00280781"/>
    <w:rsid w:val="002871ED"/>
    <w:rsid w:val="002911FA"/>
    <w:rsid w:val="00291B97"/>
    <w:rsid w:val="00292841"/>
    <w:rsid w:val="002934CB"/>
    <w:rsid w:val="00294AD3"/>
    <w:rsid w:val="00295AB8"/>
    <w:rsid w:val="00295ACF"/>
    <w:rsid w:val="00297C9C"/>
    <w:rsid w:val="002A3099"/>
    <w:rsid w:val="002A3126"/>
    <w:rsid w:val="002A32F3"/>
    <w:rsid w:val="002A54E4"/>
    <w:rsid w:val="002A5650"/>
    <w:rsid w:val="002A57D2"/>
    <w:rsid w:val="002B0805"/>
    <w:rsid w:val="002B0E5E"/>
    <w:rsid w:val="002B2263"/>
    <w:rsid w:val="002B22C6"/>
    <w:rsid w:val="002B2A09"/>
    <w:rsid w:val="002B62E4"/>
    <w:rsid w:val="002B63FE"/>
    <w:rsid w:val="002B6B43"/>
    <w:rsid w:val="002C4210"/>
    <w:rsid w:val="002C4C44"/>
    <w:rsid w:val="002C4E7A"/>
    <w:rsid w:val="002C590F"/>
    <w:rsid w:val="002C5F61"/>
    <w:rsid w:val="002D13D9"/>
    <w:rsid w:val="002D2440"/>
    <w:rsid w:val="002D3170"/>
    <w:rsid w:val="002D364C"/>
    <w:rsid w:val="002D3787"/>
    <w:rsid w:val="002D3CF1"/>
    <w:rsid w:val="002D7DA8"/>
    <w:rsid w:val="002E18DE"/>
    <w:rsid w:val="002E1954"/>
    <w:rsid w:val="002E3161"/>
    <w:rsid w:val="002E4815"/>
    <w:rsid w:val="002E558F"/>
    <w:rsid w:val="002E59F9"/>
    <w:rsid w:val="002E6F1E"/>
    <w:rsid w:val="002F0181"/>
    <w:rsid w:val="002F416B"/>
    <w:rsid w:val="00300345"/>
    <w:rsid w:val="00300AAF"/>
    <w:rsid w:val="00300BAB"/>
    <w:rsid w:val="00302148"/>
    <w:rsid w:val="003028AB"/>
    <w:rsid w:val="0030322B"/>
    <w:rsid w:val="003036D0"/>
    <w:rsid w:val="0030697A"/>
    <w:rsid w:val="0030735F"/>
    <w:rsid w:val="00307BD0"/>
    <w:rsid w:val="00311AFA"/>
    <w:rsid w:val="00312BBF"/>
    <w:rsid w:val="00320D7A"/>
    <w:rsid w:val="0032355D"/>
    <w:rsid w:val="00326DD8"/>
    <w:rsid w:val="00330074"/>
    <w:rsid w:val="00331F17"/>
    <w:rsid w:val="003342B4"/>
    <w:rsid w:val="00334533"/>
    <w:rsid w:val="003361B2"/>
    <w:rsid w:val="0033730F"/>
    <w:rsid w:val="00340639"/>
    <w:rsid w:val="00340900"/>
    <w:rsid w:val="003413D4"/>
    <w:rsid w:val="003427EB"/>
    <w:rsid w:val="003430C3"/>
    <w:rsid w:val="0034343D"/>
    <w:rsid w:val="00343913"/>
    <w:rsid w:val="00345175"/>
    <w:rsid w:val="00345266"/>
    <w:rsid w:val="0034644C"/>
    <w:rsid w:val="003502CB"/>
    <w:rsid w:val="003514D1"/>
    <w:rsid w:val="00352DD7"/>
    <w:rsid w:val="00354834"/>
    <w:rsid w:val="00356A49"/>
    <w:rsid w:val="00361DC4"/>
    <w:rsid w:val="0036450C"/>
    <w:rsid w:val="00366774"/>
    <w:rsid w:val="00366F1C"/>
    <w:rsid w:val="0036735C"/>
    <w:rsid w:val="00370A73"/>
    <w:rsid w:val="003714F0"/>
    <w:rsid w:val="00371F50"/>
    <w:rsid w:val="00372884"/>
    <w:rsid w:val="003734A6"/>
    <w:rsid w:val="00375219"/>
    <w:rsid w:val="003752CC"/>
    <w:rsid w:val="00377764"/>
    <w:rsid w:val="00377D01"/>
    <w:rsid w:val="00377F3C"/>
    <w:rsid w:val="00380B39"/>
    <w:rsid w:val="00383103"/>
    <w:rsid w:val="00384445"/>
    <w:rsid w:val="003854C9"/>
    <w:rsid w:val="003914F0"/>
    <w:rsid w:val="00391C3A"/>
    <w:rsid w:val="00391EBA"/>
    <w:rsid w:val="003938A9"/>
    <w:rsid w:val="003956F7"/>
    <w:rsid w:val="00397A62"/>
    <w:rsid w:val="003A09EF"/>
    <w:rsid w:val="003A0C2B"/>
    <w:rsid w:val="003A373E"/>
    <w:rsid w:val="003A4258"/>
    <w:rsid w:val="003A4D93"/>
    <w:rsid w:val="003A609B"/>
    <w:rsid w:val="003A6868"/>
    <w:rsid w:val="003A70D7"/>
    <w:rsid w:val="003A7597"/>
    <w:rsid w:val="003A7BB6"/>
    <w:rsid w:val="003B0B3F"/>
    <w:rsid w:val="003B18BE"/>
    <w:rsid w:val="003B2A0E"/>
    <w:rsid w:val="003B6985"/>
    <w:rsid w:val="003C211E"/>
    <w:rsid w:val="003C38D8"/>
    <w:rsid w:val="003C44C8"/>
    <w:rsid w:val="003C4992"/>
    <w:rsid w:val="003C4B9A"/>
    <w:rsid w:val="003C7EAF"/>
    <w:rsid w:val="003D0A04"/>
    <w:rsid w:val="003D3262"/>
    <w:rsid w:val="003D3506"/>
    <w:rsid w:val="003D426C"/>
    <w:rsid w:val="003D680A"/>
    <w:rsid w:val="003E0998"/>
    <w:rsid w:val="003E157C"/>
    <w:rsid w:val="003E172B"/>
    <w:rsid w:val="003E3225"/>
    <w:rsid w:val="003E5355"/>
    <w:rsid w:val="003E56A3"/>
    <w:rsid w:val="003E672C"/>
    <w:rsid w:val="003E6FE3"/>
    <w:rsid w:val="003E7393"/>
    <w:rsid w:val="003E7CCA"/>
    <w:rsid w:val="003F01E1"/>
    <w:rsid w:val="003F0A9B"/>
    <w:rsid w:val="003F1C4A"/>
    <w:rsid w:val="003F2271"/>
    <w:rsid w:val="003F2836"/>
    <w:rsid w:val="003F50CB"/>
    <w:rsid w:val="003F5D5F"/>
    <w:rsid w:val="003F728D"/>
    <w:rsid w:val="003F7BF2"/>
    <w:rsid w:val="004045ED"/>
    <w:rsid w:val="00405CA7"/>
    <w:rsid w:val="004102EF"/>
    <w:rsid w:val="00412AC6"/>
    <w:rsid w:val="004138CE"/>
    <w:rsid w:val="004162E2"/>
    <w:rsid w:val="00416375"/>
    <w:rsid w:val="00416FCF"/>
    <w:rsid w:val="0041716A"/>
    <w:rsid w:val="00420454"/>
    <w:rsid w:val="00420A26"/>
    <w:rsid w:val="00420AAA"/>
    <w:rsid w:val="00421A75"/>
    <w:rsid w:val="004234D8"/>
    <w:rsid w:val="00424ACB"/>
    <w:rsid w:val="0043230B"/>
    <w:rsid w:val="004377A3"/>
    <w:rsid w:val="00440268"/>
    <w:rsid w:val="0044190E"/>
    <w:rsid w:val="00441F40"/>
    <w:rsid w:val="0044215B"/>
    <w:rsid w:val="004458FE"/>
    <w:rsid w:val="00446016"/>
    <w:rsid w:val="00446EC4"/>
    <w:rsid w:val="00447DD2"/>
    <w:rsid w:val="00447E5E"/>
    <w:rsid w:val="00450D40"/>
    <w:rsid w:val="0045427D"/>
    <w:rsid w:val="0045458B"/>
    <w:rsid w:val="00454991"/>
    <w:rsid w:val="0045785D"/>
    <w:rsid w:val="00457DF6"/>
    <w:rsid w:val="00460A58"/>
    <w:rsid w:val="004628A9"/>
    <w:rsid w:val="004648B2"/>
    <w:rsid w:val="004657B7"/>
    <w:rsid w:val="00467676"/>
    <w:rsid w:val="004708E3"/>
    <w:rsid w:val="00471CB4"/>
    <w:rsid w:val="0047246C"/>
    <w:rsid w:val="00472C4D"/>
    <w:rsid w:val="00473631"/>
    <w:rsid w:val="00473826"/>
    <w:rsid w:val="00473913"/>
    <w:rsid w:val="00473FC6"/>
    <w:rsid w:val="00474EA6"/>
    <w:rsid w:val="00475004"/>
    <w:rsid w:val="00475350"/>
    <w:rsid w:val="0047576E"/>
    <w:rsid w:val="004773A4"/>
    <w:rsid w:val="00477604"/>
    <w:rsid w:val="00477D52"/>
    <w:rsid w:val="0048034A"/>
    <w:rsid w:val="00483F00"/>
    <w:rsid w:val="0048446A"/>
    <w:rsid w:val="00484CEF"/>
    <w:rsid w:val="00485E6F"/>
    <w:rsid w:val="004902BC"/>
    <w:rsid w:val="0049055B"/>
    <w:rsid w:val="004908C9"/>
    <w:rsid w:val="004908D3"/>
    <w:rsid w:val="00492A8E"/>
    <w:rsid w:val="00493884"/>
    <w:rsid w:val="00493B9B"/>
    <w:rsid w:val="00494D54"/>
    <w:rsid w:val="00495108"/>
    <w:rsid w:val="00495769"/>
    <w:rsid w:val="0049629A"/>
    <w:rsid w:val="00496D59"/>
    <w:rsid w:val="00496E85"/>
    <w:rsid w:val="004971C7"/>
    <w:rsid w:val="0049793E"/>
    <w:rsid w:val="004A20B7"/>
    <w:rsid w:val="004A2883"/>
    <w:rsid w:val="004A4C7D"/>
    <w:rsid w:val="004A538E"/>
    <w:rsid w:val="004A6041"/>
    <w:rsid w:val="004A61E0"/>
    <w:rsid w:val="004A6335"/>
    <w:rsid w:val="004A7383"/>
    <w:rsid w:val="004B0F4C"/>
    <w:rsid w:val="004B6D29"/>
    <w:rsid w:val="004C1991"/>
    <w:rsid w:val="004C28C7"/>
    <w:rsid w:val="004C4428"/>
    <w:rsid w:val="004C5364"/>
    <w:rsid w:val="004C5CAB"/>
    <w:rsid w:val="004C63E3"/>
    <w:rsid w:val="004D044C"/>
    <w:rsid w:val="004D05B3"/>
    <w:rsid w:val="004D1226"/>
    <w:rsid w:val="004D1AC4"/>
    <w:rsid w:val="004D24D3"/>
    <w:rsid w:val="004D2C2E"/>
    <w:rsid w:val="004D3088"/>
    <w:rsid w:val="004D6031"/>
    <w:rsid w:val="004E1BDC"/>
    <w:rsid w:val="004E4C52"/>
    <w:rsid w:val="004E5B82"/>
    <w:rsid w:val="004E6120"/>
    <w:rsid w:val="004E76FE"/>
    <w:rsid w:val="004F01C0"/>
    <w:rsid w:val="004F14D2"/>
    <w:rsid w:val="004F16EA"/>
    <w:rsid w:val="004F26BF"/>
    <w:rsid w:val="004F2913"/>
    <w:rsid w:val="004F3334"/>
    <w:rsid w:val="004F3506"/>
    <w:rsid w:val="004F56AC"/>
    <w:rsid w:val="00501B33"/>
    <w:rsid w:val="005021FE"/>
    <w:rsid w:val="00504CE4"/>
    <w:rsid w:val="005051CF"/>
    <w:rsid w:val="005052D0"/>
    <w:rsid w:val="00506F0E"/>
    <w:rsid w:val="005107D1"/>
    <w:rsid w:val="005111A2"/>
    <w:rsid w:val="00511622"/>
    <w:rsid w:val="005117F3"/>
    <w:rsid w:val="005118FA"/>
    <w:rsid w:val="00513E55"/>
    <w:rsid w:val="00516668"/>
    <w:rsid w:val="005214DB"/>
    <w:rsid w:val="0052239B"/>
    <w:rsid w:val="00522B3F"/>
    <w:rsid w:val="00523453"/>
    <w:rsid w:val="00527083"/>
    <w:rsid w:val="00527E60"/>
    <w:rsid w:val="005300C7"/>
    <w:rsid w:val="00530B59"/>
    <w:rsid w:val="00530FE0"/>
    <w:rsid w:val="00535136"/>
    <w:rsid w:val="00535441"/>
    <w:rsid w:val="005372A0"/>
    <w:rsid w:val="005401D9"/>
    <w:rsid w:val="00542B3C"/>
    <w:rsid w:val="00543AD4"/>
    <w:rsid w:val="0054440C"/>
    <w:rsid w:val="00544662"/>
    <w:rsid w:val="00547DB9"/>
    <w:rsid w:val="00550E34"/>
    <w:rsid w:val="00550EF9"/>
    <w:rsid w:val="00552B47"/>
    <w:rsid w:val="00552E53"/>
    <w:rsid w:val="00554344"/>
    <w:rsid w:val="005548D8"/>
    <w:rsid w:val="00563BB5"/>
    <w:rsid w:val="0056440B"/>
    <w:rsid w:val="005659F9"/>
    <w:rsid w:val="005667A2"/>
    <w:rsid w:val="00566BD7"/>
    <w:rsid w:val="00567F9D"/>
    <w:rsid w:val="00570108"/>
    <w:rsid w:val="00570542"/>
    <w:rsid w:val="0057117B"/>
    <w:rsid w:val="00572A05"/>
    <w:rsid w:val="00572C6F"/>
    <w:rsid w:val="00572CE3"/>
    <w:rsid w:val="00575F4E"/>
    <w:rsid w:val="00582D9F"/>
    <w:rsid w:val="00583EF2"/>
    <w:rsid w:val="0058401C"/>
    <w:rsid w:val="005841CD"/>
    <w:rsid w:val="00585E1D"/>
    <w:rsid w:val="005862C7"/>
    <w:rsid w:val="0058733F"/>
    <w:rsid w:val="00590176"/>
    <w:rsid w:val="00590BF1"/>
    <w:rsid w:val="00591752"/>
    <w:rsid w:val="005925F6"/>
    <w:rsid w:val="00594F4A"/>
    <w:rsid w:val="00596522"/>
    <w:rsid w:val="00596850"/>
    <w:rsid w:val="00597651"/>
    <w:rsid w:val="00597CC4"/>
    <w:rsid w:val="00597F6C"/>
    <w:rsid w:val="005A2B1F"/>
    <w:rsid w:val="005A2FE0"/>
    <w:rsid w:val="005A3708"/>
    <w:rsid w:val="005A42C4"/>
    <w:rsid w:val="005A4B15"/>
    <w:rsid w:val="005A5FAE"/>
    <w:rsid w:val="005A7FA1"/>
    <w:rsid w:val="005B10E8"/>
    <w:rsid w:val="005B1BB2"/>
    <w:rsid w:val="005B300D"/>
    <w:rsid w:val="005B47B4"/>
    <w:rsid w:val="005B4D66"/>
    <w:rsid w:val="005B57C8"/>
    <w:rsid w:val="005B6388"/>
    <w:rsid w:val="005C01AA"/>
    <w:rsid w:val="005C077D"/>
    <w:rsid w:val="005C0F41"/>
    <w:rsid w:val="005C52F2"/>
    <w:rsid w:val="005C6888"/>
    <w:rsid w:val="005C75D6"/>
    <w:rsid w:val="005C76BD"/>
    <w:rsid w:val="005D0E65"/>
    <w:rsid w:val="005D20AE"/>
    <w:rsid w:val="005D413D"/>
    <w:rsid w:val="005D42E5"/>
    <w:rsid w:val="005D6AB1"/>
    <w:rsid w:val="005D6ABB"/>
    <w:rsid w:val="005D7A72"/>
    <w:rsid w:val="005D7FD5"/>
    <w:rsid w:val="005E095F"/>
    <w:rsid w:val="005E0B29"/>
    <w:rsid w:val="005E0DF7"/>
    <w:rsid w:val="005E1141"/>
    <w:rsid w:val="005E1F06"/>
    <w:rsid w:val="005E263C"/>
    <w:rsid w:val="005E2698"/>
    <w:rsid w:val="005E305B"/>
    <w:rsid w:val="005E4173"/>
    <w:rsid w:val="005E543F"/>
    <w:rsid w:val="005E546C"/>
    <w:rsid w:val="005E55B7"/>
    <w:rsid w:val="005E6065"/>
    <w:rsid w:val="005E76B9"/>
    <w:rsid w:val="005F0B95"/>
    <w:rsid w:val="005F238C"/>
    <w:rsid w:val="005F23F2"/>
    <w:rsid w:val="005F3671"/>
    <w:rsid w:val="005F3A6A"/>
    <w:rsid w:val="005F3CF9"/>
    <w:rsid w:val="005F45C4"/>
    <w:rsid w:val="005F504F"/>
    <w:rsid w:val="005F5D17"/>
    <w:rsid w:val="005F68FE"/>
    <w:rsid w:val="00602106"/>
    <w:rsid w:val="00602EA8"/>
    <w:rsid w:val="00604C2E"/>
    <w:rsid w:val="00606A16"/>
    <w:rsid w:val="00606C41"/>
    <w:rsid w:val="00607062"/>
    <w:rsid w:val="00612959"/>
    <w:rsid w:val="00613A35"/>
    <w:rsid w:val="0061589F"/>
    <w:rsid w:val="00616D90"/>
    <w:rsid w:val="00616F54"/>
    <w:rsid w:val="00617346"/>
    <w:rsid w:val="00620EED"/>
    <w:rsid w:val="0062118F"/>
    <w:rsid w:val="00621456"/>
    <w:rsid w:val="006234EC"/>
    <w:rsid w:val="00624184"/>
    <w:rsid w:val="0062666B"/>
    <w:rsid w:val="00626DD6"/>
    <w:rsid w:val="006270D1"/>
    <w:rsid w:val="00630B43"/>
    <w:rsid w:val="00631AB6"/>
    <w:rsid w:val="00633ABC"/>
    <w:rsid w:val="00634BED"/>
    <w:rsid w:val="006353BD"/>
    <w:rsid w:val="00637013"/>
    <w:rsid w:val="00637C48"/>
    <w:rsid w:val="0064018B"/>
    <w:rsid w:val="00640249"/>
    <w:rsid w:val="00640ECF"/>
    <w:rsid w:val="006477F3"/>
    <w:rsid w:val="00650EB9"/>
    <w:rsid w:val="00652098"/>
    <w:rsid w:val="00653B2F"/>
    <w:rsid w:val="00653EFE"/>
    <w:rsid w:val="0065432D"/>
    <w:rsid w:val="00655443"/>
    <w:rsid w:val="00657E26"/>
    <w:rsid w:val="006629BF"/>
    <w:rsid w:val="006633EA"/>
    <w:rsid w:val="00664115"/>
    <w:rsid w:val="00674953"/>
    <w:rsid w:val="00675083"/>
    <w:rsid w:val="006756A7"/>
    <w:rsid w:val="00675EFC"/>
    <w:rsid w:val="00675FDA"/>
    <w:rsid w:val="00676A7E"/>
    <w:rsid w:val="00676DE0"/>
    <w:rsid w:val="00681330"/>
    <w:rsid w:val="0068280D"/>
    <w:rsid w:val="006829F0"/>
    <w:rsid w:val="00683389"/>
    <w:rsid w:val="00683F7E"/>
    <w:rsid w:val="00685018"/>
    <w:rsid w:val="0068552D"/>
    <w:rsid w:val="006875E9"/>
    <w:rsid w:val="00692133"/>
    <w:rsid w:val="006936EA"/>
    <w:rsid w:val="00695F84"/>
    <w:rsid w:val="006A0B57"/>
    <w:rsid w:val="006A417D"/>
    <w:rsid w:val="006A498D"/>
    <w:rsid w:val="006A72DD"/>
    <w:rsid w:val="006A7798"/>
    <w:rsid w:val="006A77DF"/>
    <w:rsid w:val="006B08EA"/>
    <w:rsid w:val="006B2DAF"/>
    <w:rsid w:val="006B37C8"/>
    <w:rsid w:val="006B3CD8"/>
    <w:rsid w:val="006C09A8"/>
    <w:rsid w:val="006C1760"/>
    <w:rsid w:val="006C2955"/>
    <w:rsid w:val="006C534A"/>
    <w:rsid w:val="006C565E"/>
    <w:rsid w:val="006C6B88"/>
    <w:rsid w:val="006C7196"/>
    <w:rsid w:val="006C7B54"/>
    <w:rsid w:val="006D24AB"/>
    <w:rsid w:val="006D34F1"/>
    <w:rsid w:val="006D3BC5"/>
    <w:rsid w:val="006D5497"/>
    <w:rsid w:val="006D588C"/>
    <w:rsid w:val="006D61DA"/>
    <w:rsid w:val="006D6EB9"/>
    <w:rsid w:val="006D7304"/>
    <w:rsid w:val="006D7615"/>
    <w:rsid w:val="006E00C1"/>
    <w:rsid w:val="006E0DEA"/>
    <w:rsid w:val="006E19EE"/>
    <w:rsid w:val="006E1E8F"/>
    <w:rsid w:val="006E3EC9"/>
    <w:rsid w:val="006E4E88"/>
    <w:rsid w:val="006E7264"/>
    <w:rsid w:val="006F202C"/>
    <w:rsid w:val="006F2F81"/>
    <w:rsid w:val="006F4741"/>
    <w:rsid w:val="006F585A"/>
    <w:rsid w:val="006F6CBA"/>
    <w:rsid w:val="006F6FDA"/>
    <w:rsid w:val="006F76DE"/>
    <w:rsid w:val="0070213E"/>
    <w:rsid w:val="0070305F"/>
    <w:rsid w:val="00703C53"/>
    <w:rsid w:val="00704664"/>
    <w:rsid w:val="007047E2"/>
    <w:rsid w:val="00707B94"/>
    <w:rsid w:val="007108C1"/>
    <w:rsid w:val="00710C22"/>
    <w:rsid w:val="00710E4D"/>
    <w:rsid w:val="00712404"/>
    <w:rsid w:val="00712F78"/>
    <w:rsid w:val="00713A81"/>
    <w:rsid w:val="00714AC3"/>
    <w:rsid w:val="00715D70"/>
    <w:rsid w:val="0071635C"/>
    <w:rsid w:val="00716560"/>
    <w:rsid w:val="00717312"/>
    <w:rsid w:val="00725528"/>
    <w:rsid w:val="007258AC"/>
    <w:rsid w:val="00725954"/>
    <w:rsid w:val="007349EF"/>
    <w:rsid w:val="00734C32"/>
    <w:rsid w:val="00736811"/>
    <w:rsid w:val="00736C25"/>
    <w:rsid w:val="00737F4C"/>
    <w:rsid w:val="007402C2"/>
    <w:rsid w:val="00740673"/>
    <w:rsid w:val="00743144"/>
    <w:rsid w:val="00743B48"/>
    <w:rsid w:val="0074550D"/>
    <w:rsid w:val="007503CE"/>
    <w:rsid w:val="0075169A"/>
    <w:rsid w:val="00751C57"/>
    <w:rsid w:val="007549F1"/>
    <w:rsid w:val="00755DAE"/>
    <w:rsid w:val="00757046"/>
    <w:rsid w:val="0076246D"/>
    <w:rsid w:val="00762551"/>
    <w:rsid w:val="0076320B"/>
    <w:rsid w:val="007664C3"/>
    <w:rsid w:val="007675D7"/>
    <w:rsid w:val="00770714"/>
    <w:rsid w:val="00771232"/>
    <w:rsid w:val="0077189A"/>
    <w:rsid w:val="00773328"/>
    <w:rsid w:val="007740B7"/>
    <w:rsid w:val="007768CB"/>
    <w:rsid w:val="00780FA4"/>
    <w:rsid w:val="00781E8D"/>
    <w:rsid w:val="00784C22"/>
    <w:rsid w:val="007858AD"/>
    <w:rsid w:val="0078760F"/>
    <w:rsid w:val="0079199C"/>
    <w:rsid w:val="00792C6A"/>
    <w:rsid w:val="00794099"/>
    <w:rsid w:val="0079429A"/>
    <w:rsid w:val="0079460D"/>
    <w:rsid w:val="00795A87"/>
    <w:rsid w:val="00796508"/>
    <w:rsid w:val="00796CAA"/>
    <w:rsid w:val="007973FA"/>
    <w:rsid w:val="007A1593"/>
    <w:rsid w:val="007A1C3C"/>
    <w:rsid w:val="007A2FD4"/>
    <w:rsid w:val="007A372D"/>
    <w:rsid w:val="007A45E6"/>
    <w:rsid w:val="007A553B"/>
    <w:rsid w:val="007A5DAE"/>
    <w:rsid w:val="007B2915"/>
    <w:rsid w:val="007B2BEF"/>
    <w:rsid w:val="007B3290"/>
    <w:rsid w:val="007B40CE"/>
    <w:rsid w:val="007B4349"/>
    <w:rsid w:val="007B5105"/>
    <w:rsid w:val="007B7E0F"/>
    <w:rsid w:val="007C0490"/>
    <w:rsid w:val="007C1F42"/>
    <w:rsid w:val="007C346B"/>
    <w:rsid w:val="007C7AD3"/>
    <w:rsid w:val="007D06D7"/>
    <w:rsid w:val="007D4A18"/>
    <w:rsid w:val="007D4AD0"/>
    <w:rsid w:val="007D69B6"/>
    <w:rsid w:val="007D6CB4"/>
    <w:rsid w:val="007D6FFF"/>
    <w:rsid w:val="007D798B"/>
    <w:rsid w:val="007E0646"/>
    <w:rsid w:val="007E1446"/>
    <w:rsid w:val="007E1B33"/>
    <w:rsid w:val="007E28F6"/>
    <w:rsid w:val="007E2C0E"/>
    <w:rsid w:val="007E3E6A"/>
    <w:rsid w:val="007E4922"/>
    <w:rsid w:val="007E4FB5"/>
    <w:rsid w:val="007E516E"/>
    <w:rsid w:val="007E5CA1"/>
    <w:rsid w:val="007E6720"/>
    <w:rsid w:val="007F362D"/>
    <w:rsid w:val="007F3748"/>
    <w:rsid w:val="007F3C76"/>
    <w:rsid w:val="007F5578"/>
    <w:rsid w:val="00803D5A"/>
    <w:rsid w:val="008047DD"/>
    <w:rsid w:val="008051BB"/>
    <w:rsid w:val="0080682B"/>
    <w:rsid w:val="00806935"/>
    <w:rsid w:val="0080704F"/>
    <w:rsid w:val="008078D9"/>
    <w:rsid w:val="00807C62"/>
    <w:rsid w:val="00811415"/>
    <w:rsid w:val="00812AA2"/>
    <w:rsid w:val="008139C7"/>
    <w:rsid w:val="00813A59"/>
    <w:rsid w:val="008215A3"/>
    <w:rsid w:val="00823CD2"/>
    <w:rsid w:val="00823CEC"/>
    <w:rsid w:val="008259B5"/>
    <w:rsid w:val="0082645E"/>
    <w:rsid w:val="00827499"/>
    <w:rsid w:val="00827A33"/>
    <w:rsid w:val="00830637"/>
    <w:rsid w:val="0083366C"/>
    <w:rsid w:val="008352AA"/>
    <w:rsid w:val="008415E2"/>
    <w:rsid w:val="00844CA3"/>
    <w:rsid w:val="0084675C"/>
    <w:rsid w:val="00850571"/>
    <w:rsid w:val="00851E0A"/>
    <w:rsid w:val="00852B57"/>
    <w:rsid w:val="00853417"/>
    <w:rsid w:val="008566ED"/>
    <w:rsid w:val="00857E19"/>
    <w:rsid w:val="00860A81"/>
    <w:rsid w:val="008613D9"/>
    <w:rsid w:val="00862DD6"/>
    <w:rsid w:val="00863274"/>
    <w:rsid w:val="008644B0"/>
    <w:rsid w:val="00864892"/>
    <w:rsid w:val="0086576F"/>
    <w:rsid w:val="008661E0"/>
    <w:rsid w:val="008664A7"/>
    <w:rsid w:val="00872D08"/>
    <w:rsid w:val="00872D91"/>
    <w:rsid w:val="00873604"/>
    <w:rsid w:val="0087381F"/>
    <w:rsid w:val="00876758"/>
    <w:rsid w:val="00886470"/>
    <w:rsid w:val="00887CA0"/>
    <w:rsid w:val="00890980"/>
    <w:rsid w:val="008922B8"/>
    <w:rsid w:val="00892616"/>
    <w:rsid w:val="008948A9"/>
    <w:rsid w:val="008952A7"/>
    <w:rsid w:val="00896019"/>
    <w:rsid w:val="008A018A"/>
    <w:rsid w:val="008A1047"/>
    <w:rsid w:val="008A12F9"/>
    <w:rsid w:val="008A5772"/>
    <w:rsid w:val="008A73D8"/>
    <w:rsid w:val="008B03F1"/>
    <w:rsid w:val="008B211C"/>
    <w:rsid w:val="008B2166"/>
    <w:rsid w:val="008B2193"/>
    <w:rsid w:val="008B2436"/>
    <w:rsid w:val="008B35A3"/>
    <w:rsid w:val="008B467A"/>
    <w:rsid w:val="008B5EE3"/>
    <w:rsid w:val="008B64C2"/>
    <w:rsid w:val="008B6779"/>
    <w:rsid w:val="008C09D9"/>
    <w:rsid w:val="008C181B"/>
    <w:rsid w:val="008C19E5"/>
    <w:rsid w:val="008C4EDC"/>
    <w:rsid w:val="008D0199"/>
    <w:rsid w:val="008D3D2A"/>
    <w:rsid w:val="008D5AB7"/>
    <w:rsid w:val="008D6142"/>
    <w:rsid w:val="008D64F2"/>
    <w:rsid w:val="008D679D"/>
    <w:rsid w:val="008D6CF5"/>
    <w:rsid w:val="008D6FBF"/>
    <w:rsid w:val="008D7397"/>
    <w:rsid w:val="008E0872"/>
    <w:rsid w:val="008E1C7D"/>
    <w:rsid w:val="008E223A"/>
    <w:rsid w:val="008E289A"/>
    <w:rsid w:val="008E2FF7"/>
    <w:rsid w:val="008E3F92"/>
    <w:rsid w:val="008E4428"/>
    <w:rsid w:val="008E5CD5"/>
    <w:rsid w:val="008E5FC0"/>
    <w:rsid w:val="008E650F"/>
    <w:rsid w:val="008F00AC"/>
    <w:rsid w:val="008F37E7"/>
    <w:rsid w:val="008F5BD5"/>
    <w:rsid w:val="008F6BA8"/>
    <w:rsid w:val="008F6FF6"/>
    <w:rsid w:val="0090337C"/>
    <w:rsid w:val="0090493B"/>
    <w:rsid w:val="00904DD1"/>
    <w:rsid w:val="00904E5E"/>
    <w:rsid w:val="009057D4"/>
    <w:rsid w:val="00906B4E"/>
    <w:rsid w:val="0090790D"/>
    <w:rsid w:val="00910910"/>
    <w:rsid w:val="009109B9"/>
    <w:rsid w:val="00910CD1"/>
    <w:rsid w:val="00911B8A"/>
    <w:rsid w:val="00913E9F"/>
    <w:rsid w:val="009145A9"/>
    <w:rsid w:val="00915450"/>
    <w:rsid w:val="00915698"/>
    <w:rsid w:val="00917D59"/>
    <w:rsid w:val="00921BC7"/>
    <w:rsid w:val="009230F5"/>
    <w:rsid w:val="00923B3E"/>
    <w:rsid w:val="009244DA"/>
    <w:rsid w:val="00924A7C"/>
    <w:rsid w:val="00924E74"/>
    <w:rsid w:val="009252C1"/>
    <w:rsid w:val="0092537E"/>
    <w:rsid w:val="0093290B"/>
    <w:rsid w:val="00935153"/>
    <w:rsid w:val="00936D84"/>
    <w:rsid w:val="00941B95"/>
    <w:rsid w:val="00941CC9"/>
    <w:rsid w:val="00941D18"/>
    <w:rsid w:val="00942E74"/>
    <w:rsid w:val="00942F4D"/>
    <w:rsid w:val="009458AF"/>
    <w:rsid w:val="00947B47"/>
    <w:rsid w:val="0095009B"/>
    <w:rsid w:val="00951BAB"/>
    <w:rsid w:val="00952B33"/>
    <w:rsid w:val="00953C82"/>
    <w:rsid w:val="00954C27"/>
    <w:rsid w:val="00954F20"/>
    <w:rsid w:val="00955B03"/>
    <w:rsid w:val="00957564"/>
    <w:rsid w:val="0096009E"/>
    <w:rsid w:val="0096113D"/>
    <w:rsid w:val="00961459"/>
    <w:rsid w:val="00961C39"/>
    <w:rsid w:val="00962E80"/>
    <w:rsid w:val="00963A3A"/>
    <w:rsid w:val="00970003"/>
    <w:rsid w:val="00970F38"/>
    <w:rsid w:val="0097157F"/>
    <w:rsid w:val="00971B33"/>
    <w:rsid w:val="009738A3"/>
    <w:rsid w:val="00973E2F"/>
    <w:rsid w:val="0097447A"/>
    <w:rsid w:val="0097485E"/>
    <w:rsid w:val="009778D6"/>
    <w:rsid w:val="00980277"/>
    <w:rsid w:val="00980990"/>
    <w:rsid w:val="009833B9"/>
    <w:rsid w:val="00983498"/>
    <w:rsid w:val="009851E0"/>
    <w:rsid w:val="00987819"/>
    <w:rsid w:val="00992512"/>
    <w:rsid w:val="00994245"/>
    <w:rsid w:val="0099451E"/>
    <w:rsid w:val="009948A9"/>
    <w:rsid w:val="00994B60"/>
    <w:rsid w:val="009954F1"/>
    <w:rsid w:val="009955FA"/>
    <w:rsid w:val="009A0251"/>
    <w:rsid w:val="009A2B5C"/>
    <w:rsid w:val="009A5129"/>
    <w:rsid w:val="009A6EB9"/>
    <w:rsid w:val="009A7503"/>
    <w:rsid w:val="009B12A5"/>
    <w:rsid w:val="009B21DF"/>
    <w:rsid w:val="009B2969"/>
    <w:rsid w:val="009B4EBD"/>
    <w:rsid w:val="009B5706"/>
    <w:rsid w:val="009B59EF"/>
    <w:rsid w:val="009B746C"/>
    <w:rsid w:val="009C0FAA"/>
    <w:rsid w:val="009C1D51"/>
    <w:rsid w:val="009C1FF0"/>
    <w:rsid w:val="009C26D8"/>
    <w:rsid w:val="009C2E98"/>
    <w:rsid w:val="009C3DDF"/>
    <w:rsid w:val="009C6602"/>
    <w:rsid w:val="009C7C28"/>
    <w:rsid w:val="009D3B47"/>
    <w:rsid w:val="009D3BDF"/>
    <w:rsid w:val="009D4D9C"/>
    <w:rsid w:val="009D579C"/>
    <w:rsid w:val="009D7834"/>
    <w:rsid w:val="009E1DE1"/>
    <w:rsid w:val="009E1FFA"/>
    <w:rsid w:val="009E2166"/>
    <w:rsid w:val="009E235A"/>
    <w:rsid w:val="009E2768"/>
    <w:rsid w:val="009E4687"/>
    <w:rsid w:val="009E5A69"/>
    <w:rsid w:val="009E5E20"/>
    <w:rsid w:val="009E6046"/>
    <w:rsid w:val="009E66F1"/>
    <w:rsid w:val="009E6FB1"/>
    <w:rsid w:val="009E7D25"/>
    <w:rsid w:val="009F087C"/>
    <w:rsid w:val="009F1C37"/>
    <w:rsid w:val="009F39C3"/>
    <w:rsid w:val="009F4E92"/>
    <w:rsid w:val="009F680A"/>
    <w:rsid w:val="009F74C5"/>
    <w:rsid w:val="00A03C32"/>
    <w:rsid w:val="00A05977"/>
    <w:rsid w:val="00A0638D"/>
    <w:rsid w:val="00A069D4"/>
    <w:rsid w:val="00A1091D"/>
    <w:rsid w:val="00A1103C"/>
    <w:rsid w:val="00A119E1"/>
    <w:rsid w:val="00A12B42"/>
    <w:rsid w:val="00A13384"/>
    <w:rsid w:val="00A15085"/>
    <w:rsid w:val="00A16E3E"/>
    <w:rsid w:val="00A20137"/>
    <w:rsid w:val="00A21036"/>
    <w:rsid w:val="00A21C89"/>
    <w:rsid w:val="00A2313B"/>
    <w:rsid w:val="00A244C3"/>
    <w:rsid w:val="00A25550"/>
    <w:rsid w:val="00A27791"/>
    <w:rsid w:val="00A277C9"/>
    <w:rsid w:val="00A30038"/>
    <w:rsid w:val="00A3003B"/>
    <w:rsid w:val="00A308B7"/>
    <w:rsid w:val="00A31CC3"/>
    <w:rsid w:val="00A31E71"/>
    <w:rsid w:val="00A32338"/>
    <w:rsid w:val="00A337EA"/>
    <w:rsid w:val="00A34D43"/>
    <w:rsid w:val="00A35AED"/>
    <w:rsid w:val="00A36223"/>
    <w:rsid w:val="00A36770"/>
    <w:rsid w:val="00A411C0"/>
    <w:rsid w:val="00A465BD"/>
    <w:rsid w:val="00A47825"/>
    <w:rsid w:val="00A47941"/>
    <w:rsid w:val="00A50314"/>
    <w:rsid w:val="00A51438"/>
    <w:rsid w:val="00A51677"/>
    <w:rsid w:val="00A519DD"/>
    <w:rsid w:val="00A53593"/>
    <w:rsid w:val="00A537A8"/>
    <w:rsid w:val="00A53FD4"/>
    <w:rsid w:val="00A55EDE"/>
    <w:rsid w:val="00A562CD"/>
    <w:rsid w:val="00A5719A"/>
    <w:rsid w:val="00A57C6C"/>
    <w:rsid w:val="00A60235"/>
    <w:rsid w:val="00A60392"/>
    <w:rsid w:val="00A6214D"/>
    <w:rsid w:val="00A62965"/>
    <w:rsid w:val="00A631C8"/>
    <w:rsid w:val="00A66C1A"/>
    <w:rsid w:val="00A711D3"/>
    <w:rsid w:val="00A715F3"/>
    <w:rsid w:val="00A7160A"/>
    <w:rsid w:val="00A73DF7"/>
    <w:rsid w:val="00A74423"/>
    <w:rsid w:val="00A74789"/>
    <w:rsid w:val="00A74D2D"/>
    <w:rsid w:val="00A75C1E"/>
    <w:rsid w:val="00A75D90"/>
    <w:rsid w:val="00A76537"/>
    <w:rsid w:val="00A767FD"/>
    <w:rsid w:val="00A76D7B"/>
    <w:rsid w:val="00A77E89"/>
    <w:rsid w:val="00A8228A"/>
    <w:rsid w:val="00A82782"/>
    <w:rsid w:val="00A84E6D"/>
    <w:rsid w:val="00A84EA3"/>
    <w:rsid w:val="00A9044E"/>
    <w:rsid w:val="00A90C74"/>
    <w:rsid w:val="00A911C6"/>
    <w:rsid w:val="00A927E9"/>
    <w:rsid w:val="00A93599"/>
    <w:rsid w:val="00A93B20"/>
    <w:rsid w:val="00A941E5"/>
    <w:rsid w:val="00A94715"/>
    <w:rsid w:val="00A94B5D"/>
    <w:rsid w:val="00A95E89"/>
    <w:rsid w:val="00A96164"/>
    <w:rsid w:val="00AA0C23"/>
    <w:rsid w:val="00AA1620"/>
    <w:rsid w:val="00AA17C5"/>
    <w:rsid w:val="00AA286D"/>
    <w:rsid w:val="00AA4147"/>
    <w:rsid w:val="00AA5438"/>
    <w:rsid w:val="00AA5F6E"/>
    <w:rsid w:val="00AA7BD1"/>
    <w:rsid w:val="00AB376B"/>
    <w:rsid w:val="00AB7979"/>
    <w:rsid w:val="00AB7E56"/>
    <w:rsid w:val="00AC209F"/>
    <w:rsid w:val="00AC33E4"/>
    <w:rsid w:val="00AC3A2D"/>
    <w:rsid w:val="00AC3AF1"/>
    <w:rsid w:val="00AC43F6"/>
    <w:rsid w:val="00AC486C"/>
    <w:rsid w:val="00AC519E"/>
    <w:rsid w:val="00AC7823"/>
    <w:rsid w:val="00AC78C6"/>
    <w:rsid w:val="00AD47A8"/>
    <w:rsid w:val="00AD5295"/>
    <w:rsid w:val="00AD6B29"/>
    <w:rsid w:val="00AD74C9"/>
    <w:rsid w:val="00AE0D8F"/>
    <w:rsid w:val="00AE0EBC"/>
    <w:rsid w:val="00AE158C"/>
    <w:rsid w:val="00AE1664"/>
    <w:rsid w:val="00AE17DF"/>
    <w:rsid w:val="00AE2A24"/>
    <w:rsid w:val="00AE2C1A"/>
    <w:rsid w:val="00AE4727"/>
    <w:rsid w:val="00AE4E9F"/>
    <w:rsid w:val="00AE7CA8"/>
    <w:rsid w:val="00AF1B8E"/>
    <w:rsid w:val="00AF3C6D"/>
    <w:rsid w:val="00AF4F28"/>
    <w:rsid w:val="00AF5936"/>
    <w:rsid w:val="00AF5998"/>
    <w:rsid w:val="00AF6D27"/>
    <w:rsid w:val="00AF6F06"/>
    <w:rsid w:val="00AF7DC8"/>
    <w:rsid w:val="00B0038A"/>
    <w:rsid w:val="00B02657"/>
    <w:rsid w:val="00B05163"/>
    <w:rsid w:val="00B057B5"/>
    <w:rsid w:val="00B07D53"/>
    <w:rsid w:val="00B11025"/>
    <w:rsid w:val="00B11A91"/>
    <w:rsid w:val="00B1265B"/>
    <w:rsid w:val="00B12C8A"/>
    <w:rsid w:val="00B12E4C"/>
    <w:rsid w:val="00B13130"/>
    <w:rsid w:val="00B139E1"/>
    <w:rsid w:val="00B2196C"/>
    <w:rsid w:val="00B219C0"/>
    <w:rsid w:val="00B247DA"/>
    <w:rsid w:val="00B24915"/>
    <w:rsid w:val="00B25099"/>
    <w:rsid w:val="00B272CB"/>
    <w:rsid w:val="00B31AC9"/>
    <w:rsid w:val="00B34A37"/>
    <w:rsid w:val="00B34C98"/>
    <w:rsid w:val="00B359AD"/>
    <w:rsid w:val="00B36689"/>
    <w:rsid w:val="00B40978"/>
    <w:rsid w:val="00B421DB"/>
    <w:rsid w:val="00B43450"/>
    <w:rsid w:val="00B4358B"/>
    <w:rsid w:val="00B4389C"/>
    <w:rsid w:val="00B455F0"/>
    <w:rsid w:val="00B456B8"/>
    <w:rsid w:val="00B46B17"/>
    <w:rsid w:val="00B47D99"/>
    <w:rsid w:val="00B501B6"/>
    <w:rsid w:val="00B5418B"/>
    <w:rsid w:val="00B5668B"/>
    <w:rsid w:val="00B56ADD"/>
    <w:rsid w:val="00B57711"/>
    <w:rsid w:val="00B57A35"/>
    <w:rsid w:val="00B61692"/>
    <w:rsid w:val="00B64755"/>
    <w:rsid w:val="00B64D9F"/>
    <w:rsid w:val="00B70769"/>
    <w:rsid w:val="00B70F49"/>
    <w:rsid w:val="00B7305F"/>
    <w:rsid w:val="00B74303"/>
    <w:rsid w:val="00B7451A"/>
    <w:rsid w:val="00B74B14"/>
    <w:rsid w:val="00B759E8"/>
    <w:rsid w:val="00B77738"/>
    <w:rsid w:val="00B7799F"/>
    <w:rsid w:val="00B806BF"/>
    <w:rsid w:val="00B8141B"/>
    <w:rsid w:val="00B81AA9"/>
    <w:rsid w:val="00B82ED9"/>
    <w:rsid w:val="00B83377"/>
    <w:rsid w:val="00B83B5B"/>
    <w:rsid w:val="00B83BCC"/>
    <w:rsid w:val="00B85612"/>
    <w:rsid w:val="00B8698F"/>
    <w:rsid w:val="00B87E90"/>
    <w:rsid w:val="00B93DAC"/>
    <w:rsid w:val="00B9707F"/>
    <w:rsid w:val="00B97E9C"/>
    <w:rsid w:val="00BA0641"/>
    <w:rsid w:val="00BA10E4"/>
    <w:rsid w:val="00BA247B"/>
    <w:rsid w:val="00BA3C60"/>
    <w:rsid w:val="00BA61BB"/>
    <w:rsid w:val="00BA764A"/>
    <w:rsid w:val="00BB04F1"/>
    <w:rsid w:val="00BB140D"/>
    <w:rsid w:val="00BB15C9"/>
    <w:rsid w:val="00BB1996"/>
    <w:rsid w:val="00BB2BF7"/>
    <w:rsid w:val="00BB4583"/>
    <w:rsid w:val="00BB4928"/>
    <w:rsid w:val="00BB54B3"/>
    <w:rsid w:val="00BB5E8F"/>
    <w:rsid w:val="00BB64D6"/>
    <w:rsid w:val="00BB6816"/>
    <w:rsid w:val="00BB7497"/>
    <w:rsid w:val="00BB7CD5"/>
    <w:rsid w:val="00BC1C94"/>
    <w:rsid w:val="00BC4758"/>
    <w:rsid w:val="00BC482F"/>
    <w:rsid w:val="00BC55EF"/>
    <w:rsid w:val="00BC5C91"/>
    <w:rsid w:val="00BD1D63"/>
    <w:rsid w:val="00BD3B11"/>
    <w:rsid w:val="00BD5D71"/>
    <w:rsid w:val="00BD6554"/>
    <w:rsid w:val="00BE0216"/>
    <w:rsid w:val="00BE038F"/>
    <w:rsid w:val="00BE0BE0"/>
    <w:rsid w:val="00BE14F1"/>
    <w:rsid w:val="00BE384F"/>
    <w:rsid w:val="00BE64EA"/>
    <w:rsid w:val="00BE66FE"/>
    <w:rsid w:val="00BE6745"/>
    <w:rsid w:val="00BE78C1"/>
    <w:rsid w:val="00BF0364"/>
    <w:rsid w:val="00BF05E8"/>
    <w:rsid w:val="00BF121A"/>
    <w:rsid w:val="00BF1928"/>
    <w:rsid w:val="00BF3A23"/>
    <w:rsid w:val="00BF4957"/>
    <w:rsid w:val="00BF5F84"/>
    <w:rsid w:val="00BF6C05"/>
    <w:rsid w:val="00BF70D6"/>
    <w:rsid w:val="00BF70E6"/>
    <w:rsid w:val="00C0030F"/>
    <w:rsid w:val="00C0348B"/>
    <w:rsid w:val="00C04643"/>
    <w:rsid w:val="00C04A3E"/>
    <w:rsid w:val="00C069EA"/>
    <w:rsid w:val="00C07792"/>
    <w:rsid w:val="00C143A8"/>
    <w:rsid w:val="00C153A8"/>
    <w:rsid w:val="00C15D02"/>
    <w:rsid w:val="00C1609E"/>
    <w:rsid w:val="00C17FBB"/>
    <w:rsid w:val="00C20A4A"/>
    <w:rsid w:val="00C21A6F"/>
    <w:rsid w:val="00C220B3"/>
    <w:rsid w:val="00C22A0E"/>
    <w:rsid w:val="00C22A54"/>
    <w:rsid w:val="00C22F6E"/>
    <w:rsid w:val="00C23492"/>
    <w:rsid w:val="00C2427F"/>
    <w:rsid w:val="00C27140"/>
    <w:rsid w:val="00C275D9"/>
    <w:rsid w:val="00C32328"/>
    <w:rsid w:val="00C32A9B"/>
    <w:rsid w:val="00C347A0"/>
    <w:rsid w:val="00C34FCD"/>
    <w:rsid w:val="00C36CB5"/>
    <w:rsid w:val="00C406A0"/>
    <w:rsid w:val="00C40A3A"/>
    <w:rsid w:val="00C40B52"/>
    <w:rsid w:val="00C40BAE"/>
    <w:rsid w:val="00C426D8"/>
    <w:rsid w:val="00C429F1"/>
    <w:rsid w:val="00C42EE6"/>
    <w:rsid w:val="00C447DD"/>
    <w:rsid w:val="00C45C33"/>
    <w:rsid w:val="00C45E9F"/>
    <w:rsid w:val="00C51CAF"/>
    <w:rsid w:val="00C52509"/>
    <w:rsid w:val="00C52939"/>
    <w:rsid w:val="00C529F1"/>
    <w:rsid w:val="00C53723"/>
    <w:rsid w:val="00C5448C"/>
    <w:rsid w:val="00C55492"/>
    <w:rsid w:val="00C574EE"/>
    <w:rsid w:val="00C611C2"/>
    <w:rsid w:val="00C62E0C"/>
    <w:rsid w:val="00C63A95"/>
    <w:rsid w:val="00C67C42"/>
    <w:rsid w:val="00C71187"/>
    <w:rsid w:val="00C727BB"/>
    <w:rsid w:val="00C74DDB"/>
    <w:rsid w:val="00C758E7"/>
    <w:rsid w:val="00C75F63"/>
    <w:rsid w:val="00C771EA"/>
    <w:rsid w:val="00C84D25"/>
    <w:rsid w:val="00C85CF2"/>
    <w:rsid w:val="00C87296"/>
    <w:rsid w:val="00C9026C"/>
    <w:rsid w:val="00C90367"/>
    <w:rsid w:val="00C90697"/>
    <w:rsid w:val="00C919BB"/>
    <w:rsid w:val="00C92830"/>
    <w:rsid w:val="00C92ACE"/>
    <w:rsid w:val="00C93DAD"/>
    <w:rsid w:val="00C95DAB"/>
    <w:rsid w:val="00CA13D6"/>
    <w:rsid w:val="00CA149D"/>
    <w:rsid w:val="00CA25FF"/>
    <w:rsid w:val="00CA271D"/>
    <w:rsid w:val="00CA2F90"/>
    <w:rsid w:val="00CA353B"/>
    <w:rsid w:val="00CA3E3E"/>
    <w:rsid w:val="00CA4374"/>
    <w:rsid w:val="00CA52E7"/>
    <w:rsid w:val="00CA7A83"/>
    <w:rsid w:val="00CA7CEB"/>
    <w:rsid w:val="00CB0877"/>
    <w:rsid w:val="00CB23AF"/>
    <w:rsid w:val="00CB3384"/>
    <w:rsid w:val="00CB3D7D"/>
    <w:rsid w:val="00CB6C09"/>
    <w:rsid w:val="00CB78D3"/>
    <w:rsid w:val="00CC001D"/>
    <w:rsid w:val="00CC23D9"/>
    <w:rsid w:val="00CC3BC6"/>
    <w:rsid w:val="00CC6AD6"/>
    <w:rsid w:val="00CC7E1E"/>
    <w:rsid w:val="00CD04CD"/>
    <w:rsid w:val="00CD066E"/>
    <w:rsid w:val="00CD113C"/>
    <w:rsid w:val="00CD2160"/>
    <w:rsid w:val="00CD2B5D"/>
    <w:rsid w:val="00CD47B5"/>
    <w:rsid w:val="00CD5C1D"/>
    <w:rsid w:val="00CD73C1"/>
    <w:rsid w:val="00CE047A"/>
    <w:rsid w:val="00CE08F7"/>
    <w:rsid w:val="00CE0DF9"/>
    <w:rsid w:val="00CE1332"/>
    <w:rsid w:val="00CE15A6"/>
    <w:rsid w:val="00CE19AC"/>
    <w:rsid w:val="00CE1ED3"/>
    <w:rsid w:val="00CE1FFF"/>
    <w:rsid w:val="00CE54FD"/>
    <w:rsid w:val="00CE7815"/>
    <w:rsid w:val="00CE78AE"/>
    <w:rsid w:val="00CF00C9"/>
    <w:rsid w:val="00CF0690"/>
    <w:rsid w:val="00CF0C5A"/>
    <w:rsid w:val="00CF2D8B"/>
    <w:rsid w:val="00CF477D"/>
    <w:rsid w:val="00CF5F90"/>
    <w:rsid w:val="00D0019C"/>
    <w:rsid w:val="00D00255"/>
    <w:rsid w:val="00D01465"/>
    <w:rsid w:val="00D029D9"/>
    <w:rsid w:val="00D03972"/>
    <w:rsid w:val="00D03F8A"/>
    <w:rsid w:val="00D04319"/>
    <w:rsid w:val="00D069A4"/>
    <w:rsid w:val="00D06F30"/>
    <w:rsid w:val="00D1181F"/>
    <w:rsid w:val="00D11BA3"/>
    <w:rsid w:val="00D12B3A"/>
    <w:rsid w:val="00D138EC"/>
    <w:rsid w:val="00D14521"/>
    <w:rsid w:val="00D15EFD"/>
    <w:rsid w:val="00D167E9"/>
    <w:rsid w:val="00D17105"/>
    <w:rsid w:val="00D22282"/>
    <w:rsid w:val="00D23F81"/>
    <w:rsid w:val="00D26549"/>
    <w:rsid w:val="00D26FDD"/>
    <w:rsid w:val="00D27275"/>
    <w:rsid w:val="00D31050"/>
    <w:rsid w:val="00D32F02"/>
    <w:rsid w:val="00D3375D"/>
    <w:rsid w:val="00D35BA9"/>
    <w:rsid w:val="00D41442"/>
    <w:rsid w:val="00D42A18"/>
    <w:rsid w:val="00D43C13"/>
    <w:rsid w:val="00D43E5B"/>
    <w:rsid w:val="00D44DA1"/>
    <w:rsid w:val="00D44EA6"/>
    <w:rsid w:val="00D5181A"/>
    <w:rsid w:val="00D5187D"/>
    <w:rsid w:val="00D51F02"/>
    <w:rsid w:val="00D52175"/>
    <w:rsid w:val="00D53E82"/>
    <w:rsid w:val="00D54054"/>
    <w:rsid w:val="00D550D0"/>
    <w:rsid w:val="00D552FE"/>
    <w:rsid w:val="00D61021"/>
    <w:rsid w:val="00D61695"/>
    <w:rsid w:val="00D616FB"/>
    <w:rsid w:val="00D6201B"/>
    <w:rsid w:val="00D64BA2"/>
    <w:rsid w:val="00D65C38"/>
    <w:rsid w:val="00D709C8"/>
    <w:rsid w:val="00D7302D"/>
    <w:rsid w:val="00D73190"/>
    <w:rsid w:val="00D73CC3"/>
    <w:rsid w:val="00D73F40"/>
    <w:rsid w:val="00D76058"/>
    <w:rsid w:val="00D76741"/>
    <w:rsid w:val="00D82297"/>
    <w:rsid w:val="00D8253A"/>
    <w:rsid w:val="00D85212"/>
    <w:rsid w:val="00D85E64"/>
    <w:rsid w:val="00D87160"/>
    <w:rsid w:val="00D9127B"/>
    <w:rsid w:val="00D92AB8"/>
    <w:rsid w:val="00D92C80"/>
    <w:rsid w:val="00D93264"/>
    <w:rsid w:val="00D934F8"/>
    <w:rsid w:val="00D9385D"/>
    <w:rsid w:val="00D95443"/>
    <w:rsid w:val="00D960D8"/>
    <w:rsid w:val="00D97F84"/>
    <w:rsid w:val="00DA1B4F"/>
    <w:rsid w:val="00DA1EE1"/>
    <w:rsid w:val="00DA28D6"/>
    <w:rsid w:val="00DA38A9"/>
    <w:rsid w:val="00DA66CA"/>
    <w:rsid w:val="00DB0088"/>
    <w:rsid w:val="00DB47B5"/>
    <w:rsid w:val="00DB4E59"/>
    <w:rsid w:val="00DB6D94"/>
    <w:rsid w:val="00DB7AD7"/>
    <w:rsid w:val="00DC003C"/>
    <w:rsid w:val="00DC0653"/>
    <w:rsid w:val="00DC14DF"/>
    <w:rsid w:val="00DC1D40"/>
    <w:rsid w:val="00DC36E4"/>
    <w:rsid w:val="00DC3ACC"/>
    <w:rsid w:val="00DD0178"/>
    <w:rsid w:val="00DD04C7"/>
    <w:rsid w:val="00DD2C84"/>
    <w:rsid w:val="00DD2F28"/>
    <w:rsid w:val="00DD330F"/>
    <w:rsid w:val="00DD4089"/>
    <w:rsid w:val="00DD409D"/>
    <w:rsid w:val="00DD4E92"/>
    <w:rsid w:val="00DD61BF"/>
    <w:rsid w:val="00DD7B71"/>
    <w:rsid w:val="00DD7D27"/>
    <w:rsid w:val="00DD7F3C"/>
    <w:rsid w:val="00DE1BD9"/>
    <w:rsid w:val="00DE1D3B"/>
    <w:rsid w:val="00DE35F1"/>
    <w:rsid w:val="00DE3A75"/>
    <w:rsid w:val="00DE43F4"/>
    <w:rsid w:val="00DE4811"/>
    <w:rsid w:val="00DF04D2"/>
    <w:rsid w:val="00DF3874"/>
    <w:rsid w:val="00DF42B3"/>
    <w:rsid w:val="00DF4514"/>
    <w:rsid w:val="00DF4E3C"/>
    <w:rsid w:val="00DF5B22"/>
    <w:rsid w:val="00DF64B2"/>
    <w:rsid w:val="00E01E63"/>
    <w:rsid w:val="00E0470F"/>
    <w:rsid w:val="00E04871"/>
    <w:rsid w:val="00E04945"/>
    <w:rsid w:val="00E0578D"/>
    <w:rsid w:val="00E07716"/>
    <w:rsid w:val="00E0780E"/>
    <w:rsid w:val="00E10CBA"/>
    <w:rsid w:val="00E11485"/>
    <w:rsid w:val="00E11A2D"/>
    <w:rsid w:val="00E128E7"/>
    <w:rsid w:val="00E134AF"/>
    <w:rsid w:val="00E15F3B"/>
    <w:rsid w:val="00E16F1B"/>
    <w:rsid w:val="00E2434A"/>
    <w:rsid w:val="00E24988"/>
    <w:rsid w:val="00E2597B"/>
    <w:rsid w:val="00E267D1"/>
    <w:rsid w:val="00E26953"/>
    <w:rsid w:val="00E30EFE"/>
    <w:rsid w:val="00E312CB"/>
    <w:rsid w:val="00E322CC"/>
    <w:rsid w:val="00E33083"/>
    <w:rsid w:val="00E343C7"/>
    <w:rsid w:val="00E357A7"/>
    <w:rsid w:val="00E37731"/>
    <w:rsid w:val="00E407C9"/>
    <w:rsid w:val="00E41134"/>
    <w:rsid w:val="00E44312"/>
    <w:rsid w:val="00E45CB1"/>
    <w:rsid w:val="00E45D29"/>
    <w:rsid w:val="00E4790E"/>
    <w:rsid w:val="00E50976"/>
    <w:rsid w:val="00E50AAA"/>
    <w:rsid w:val="00E50F6C"/>
    <w:rsid w:val="00E511C2"/>
    <w:rsid w:val="00E519F1"/>
    <w:rsid w:val="00E51ECB"/>
    <w:rsid w:val="00E53417"/>
    <w:rsid w:val="00E542BF"/>
    <w:rsid w:val="00E561A3"/>
    <w:rsid w:val="00E566E2"/>
    <w:rsid w:val="00E575D1"/>
    <w:rsid w:val="00E6003F"/>
    <w:rsid w:val="00E61A0B"/>
    <w:rsid w:val="00E62516"/>
    <w:rsid w:val="00E6302B"/>
    <w:rsid w:val="00E6325B"/>
    <w:rsid w:val="00E658BB"/>
    <w:rsid w:val="00E7016A"/>
    <w:rsid w:val="00E70663"/>
    <w:rsid w:val="00E706EC"/>
    <w:rsid w:val="00E72A99"/>
    <w:rsid w:val="00E73C7F"/>
    <w:rsid w:val="00E80B1D"/>
    <w:rsid w:val="00E81024"/>
    <w:rsid w:val="00E81AD5"/>
    <w:rsid w:val="00E81D22"/>
    <w:rsid w:val="00E844D6"/>
    <w:rsid w:val="00E84523"/>
    <w:rsid w:val="00E84916"/>
    <w:rsid w:val="00E87738"/>
    <w:rsid w:val="00E92029"/>
    <w:rsid w:val="00E92706"/>
    <w:rsid w:val="00E93A04"/>
    <w:rsid w:val="00E9457C"/>
    <w:rsid w:val="00E948E3"/>
    <w:rsid w:val="00E95103"/>
    <w:rsid w:val="00EA10FC"/>
    <w:rsid w:val="00EA121F"/>
    <w:rsid w:val="00EA1B1F"/>
    <w:rsid w:val="00EA2D04"/>
    <w:rsid w:val="00EA330B"/>
    <w:rsid w:val="00EA330F"/>
    <w:rsid w:val="00EA4C52"/>
    <w:rsid w:val="00EA669F"/>
    <w:rsid w:val="00EA7C21"/>
    <w:rsid w:val="00EA7E41"/>
    <w:rsid w:val="00EB0784"/>
    <w:rsid w:val="00EB115A"/>
    <w:rsid w:val="00EB11DB"/>
    <w:rsid w:val="00EB17C0"/>
    <w:rsid w:val="00EB21F9"/>
    <w:rsid w:val="00EB329A"/>
    <w:rsid w:val="00EB5117"/>
    <w:rsid w:val="00EB5895"/>
    <w:rsid w:val="00EB73CA"/>
    <w:rsid w:val="00EC0EB8"/>
    <w:rsid w:val="00EC3975"/>
    <w:rsid w:val="00EC4FC9"/>
    <w:rsid w:val="00EC5A34"/>
    <w:rsid w:val="00EC67D5"/>
    <w:rsid w:val="00EC7C36"/>
    <w:rsid w:val="00EC7CF9"/>
    <w:rsid w:val="00ED0457"/>
    <w:rsid w:val="00ED0610"/>
    <w:rsid w:val="00ED06A1"/>
    <w:rsid w:val="00ED0870"/>
    <w:rsid w:val="00ED291C"/>
    <w:rsid w:val="00ED36F7"/>
    <w:rsid w:val="00ED46CD"/>
    <w:rsid w:val="00ED4A5C"/>
    <w:rsid w:val="00ED53C1"/>
    <w:rsid w:val="00ED7B92"/>
    <w:rsid w:val="00EE01F9"/>
    <w:rsid w:val="00EE1D24"/>
    <w:rsid w:val="00EE2900"/>
    <w:rsid w:val="00EE540A"/>
    <w:rsid w:val="00EE7BFB"/>
    <w:rsid w:val="00EF49BE"/>
    <w:rsid w:val="00EF59FD"/>
    <w:rsid w:val="00EF5A53"/>
    <w:rsid w:val="00F00140"/>
    <w:rsid w:val="00F024E5"/>
    <w:rsid w:val="00F033D4"/>
    <w:rsid w:val="00F0426C"/>
    <w:rsid w:val="00F044AB"/>
    <w:rsid w:val="00F059F3"/>
    <w:rsid w:val="00F06BEF"/>
    <w:rsid w:val="00F1158E"/>
    <w:rsid w:val="00F11F4E"/>
    <w:rsid w:val="00F12141"/>
    <w:rsid w:val="00F14A2F"/>
    <w:rsid w:val="00F14DF8"/>
    <w:rsid w:val="00F15832"/>
    <w:rsid w:val="00F16C58"/>
    <w:rsid w:val="00F20755"/>
    <w:rsid w:val="00F20BF9"/>
    <w:rsid w:val="00F22707"/>
    <w:rsid w:val="00F241CD"/>
    <w:rsid w:val="00F26AE9"/>
    <w:rsid w:val="00F3139F"/>
    <w:rsid w:val="00F32841"/>
    <w:rsid w:val="00F4212B"/>
    <w:rsid w:val="00F427BE"/>
    <w:rsid w:val="00F43188"/>
    <w:rsid w:val="00F43C3B"/>
    <w:rsid w:val="00F45886"/>
    <w:rsid w:val="00F463D9"/>
    <w:rsid w:val="00F46C42"/>
    <w:rsid w:val="00F478FB"/>
    <w:rsid w:val="00F47F3B"/>
    <w:rsid w:val="00F500A8"/>
    <w:rsid w:val="00F5543C"/>
    <w:rsid w:val="00F559E1"/>
    <w:rsid w:val="00F55B22"/>
    <w:rsid w:val="00F55C56"/>
    <w:rsid w:val="00F60C50"/>
    <w:rsid w:val="00F62358"/>
    <w:rsid w:val="00F63CDE"/>
    <w:rsid w:val="00F662BC"/>
    <w:rsid w:val="00F668A1"/>
    <w:rsid w:val="00F67D98"/>
    <w:rsid w:val="00F70F9B"/>
    <w:rsid w:val="00F72992"/>
    <w:rsid w:val="00F730A1"/>
    <w:rsid w:val="00F73146"/>
    <w:rsid w:val="00F74CBD"/>
    <w:rsid w:val="00F80031"/>
    <w:rsid w:val="00F805B8"/>
    <w:rsid w:val="00F80BA3"/>
    <w:rsid w:val="00F80D79"/>
    <w:rsid w:val="00F823D8"/>
    <w:rsid w:val="00F83B95"/>
    <w:rsid w:val="00F83E6C"/>
    <w:rsid w:val="00F85E9D"/>
    <w:rsid w:val="00F86845"/>
    <w:rsid w:val="00F873A8"/>
    <w:rsid w:val="00F914D5"/>
    <w:rsid w:val="00F9220D"/>
    <w:rsid w:val="00F92A15"/>
    <w:rsid w:val="00F93664"/>
    <w:rsid w:val="00F948F6"/>
    <w:rsid w:val="00F95E79"/>
    <w:rsid w:val="00F96B51"/>
    <w:rsid w:val="00F9776F"/>
    <w:rsid w:val="00FA0806"/>
    <w:rsid w:val="00FA138C"/>
    <w:rsid w:val="00FA1EE7"/>
    <w:rsid w:val="00FA2094"/>
    <w:rsid w:val="00FA2257"/>
    <w:rsid w:val="00FA4A95"/>
    <w:rsid w:val="00FA6BEE"/>
    <w:rsid w:val="00FA701E"/>
    <w:rsid w:val="00FA7274"/>
    <w:rsid w:val="00FA777E"/>
    <w:rsid w:val="00FB0494"/>
    <w:rsid w:val="00FB0B61"/>
    <w:rsid w:val="00FB0EFF"/>
    <w:rsid w:val="00FB1137"/>
    <w:rsid w:val="00FB2287"/>
    <w:rsid w:val="00FB32FE"/>
    <w:rsid w:val="00FB4BCA"/>
    <w:rsid w:val="00FB4C52"/>
    <w:rsid w:val="00FB53AC"/>
    <w:rsid w:val="00FB68CE"/>
    <w:rsid w:val="00FC343B"/>
    <w:rsid w:val="00FC4026"/>
    <w:rsid w:val="00FC6F87"/>
    <w:rsid w:val="00FD0B0C"/>
    <w:rsid w:val="00FD565B"/>
    <w:rsid w:val="00FD5DCA"/>
    <w:rsid w:val="00FD719F"/>
    <w:rsid w:val="00FD7EFE"/>
    <w:rsid w:val="00FE04B4"/>
    <w:rsid w:val="00FE0609"/>
    <w:rsid w:val="00FE168C"/>
    <w:rsid w:val="00FE2787"/>
    <w:rsid w:val="00FE2CDE"/>
    <w:rsid w:val="00FE3948"/>
    <w:rsid w:val="00FE4276"/>
    <w:rsid w:val="00FE5183"/>
    <w:rsid w:val="00FE613A"/>
    <w:rsid w:val="00FE71B8"/>
    <w:rsid w:val="00FF0C6B"/>
    <w:rsid w:val="00FF1ECB"/>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282575-BA56-4A43-A49A-5472BF9C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76F"/>
  </w:style>
  <w:style w:type="paragraph" w:styleId="Heading1">
    <w:name w:val="heading 1"/>
    <w:basedOn w:val="Normal"/>
    <w:next w:val="Normal"/>
    <w:link w:val="Heading1Char"/>
    <w:uiPriority w:val="9"/>
    <w:qFormat/>
    <w:rsid w:val="00BF3A23"/>
    <w:pPr>
      <w:keepNext/>
      <w:keepLines/>
      <w:spacing w:before="240" w:after="0"/>
      <w:outlineLvl w:val="0"/>
    </w:pPr>
    <w:rPr>
      <w:rFonts w:asciiTheme="majorHAnsi" w:eastAsiaTheme="majorEastAsia" w:hAnsiTheme="majorHAnsi" w:cstheme="majorBidi"/>
      <w:color w:val="365F91" w:themeColor="accent1" w:themeShade="BF"/>
      <w:sz w:val="32"/>
      <w:szCs w:val="29"/>
    </w:rPr>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 w:type="paragraph" w:customStyle="1" w:styleId="TableParagraph">
    <w:name w:val="Table Paragraph"/>
    <w:basedOn w:val="Normal"/>
    <w:uiPriority w:val="1"/>
    <w:qFormat/>
    <w:rsid w:val="00A15085"/>
    <w:pPr>
      <w:widowControl w:val="0"/>
      <w:autoSpaceDE w:val="0"/>
      <w:autoSpaceDN w:val="0"/>
      <w:spacing w:after="0" w:line="240" w:lineRule="auto"/>
      <w:ind w:left="105"/>
    </w:pPr>
    <w:rPr>
      <w:rFonts w:ascii="Calibri" w:eastAsia="Calibri" w:hAnsi="Calibri" w:cs="Calibri"/>
      <w:szCs w:val="22"/>
      <w:lang w:bidi="ar-SA"/>
    </w:rPr>
  </w:style>
  <w:style w:type="paragraph" w:styleId="PlainText">
    <w:name w:val="Plain Text"/>
    <w:basedOn w:val="Normal"/>
    <w:link w:val="PlainTextChar"/>
    <w:uiPriority w:val="99"/>
    <w:unhideWhenUsed/>
    <w:rsid w:val="00D03972"/>
    <w:pPr>
      <w:spacing w:after="0" w:line="240" w:lineRule="auto"/>
    </w:pPr>
    <w:rPr>
      <w:rFonts w:ascii="Calibri" w:eastAsiaTheme="minorHAnsi" w:hAnsi="Calibri"/>
      <w:szCs w:val="19"/>
      <w:lang w:val="en-IN"/>
    </w:rPr>
  </w:style>
  <w:style w:type="character" w:customStyle="1" w:styleId="PlainTextChar">
    <w:name w:val="Plain Text Char"/>
    <w:basedOn w:val="DefaultParagraphFont"/>
    <w:link w:val="PlainText"/>
    <w:uiPriority w:val="99"/>
    <w:rsid w:val="00D03972"/>
    <w:rPr>
      <w:rFonts w:ascii="Calibri" w:eastAsiaTheme="minorHAnsi" w:hAnsi="Calibri"/>
      <w:szCs w:val="19"/>
      <w:lang w:val="en-IN"/>
    </w:rPr>
  </w:style>
  <w:style w:type="paragraph" w:styleId="NormalWeb">
    <w:name w:val="Normal (Web)"/>
    <w:basedOn w:val="Normal"/>
    <w:uiPriority w:val="99"/>
    <w:unhideWhenUsed/>
    <w:rsid w:val="0079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 Paragraph"/>
    <w:aliases w:val="left-aligned1"/>
    <w:uiPriority w:val="99"/>
    <w:rsid w:val="00A25550"/>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 w:type="character" w:customStyle="1" w:styleId="Heading1Char">
    <w:name w:val="Heading 1 Char"/>
    <w:basedOn w:val="DefaultParagraphFont"/>
    <w:link w:val="Heading1"/>
    <w:uiPriority w:val="9"/>
    <w:rsid w:val="00BF3A23"/>
    <w:rPr>
      <w:rFonts w:asciiTheme="majorHAnsi" w:eastAsiaTheme="majorEastAsia" w:hAnsiTheme="majorHAnsi" w:cstheme="majorBidi"/>
      <w:color w:val="365F91"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73385">
      <w:bodyDiv w:val="1"/>
      <w:marLeft w:val="0"/>
      <w:marRight w:val="0"/>
      <w:marTop w:val="0"/>
      <w:marBottom w:val="0"/>
      <w:divBdr>
        <w:top w:val="none" w:sz="0" w:space="0" w:color="auto"/>
        <w:left w:val="none" w:sz="0" w:space="0" w:color="auto"/>
        <w:bottom w:val="none" w:sz="0" w:space="0" w:color="auto"/>
        <w:right w:val="none" w:sz="0" w:space="0" w:color="auto"/>
      </w:divBdr>
    </w:div>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235822337">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495535723">
      <w:bodyDiv w:val="1"/>
      <w:marLeft w:val="0"/>
      <w:marRight w:val="0"/>
      <w:marTop w:val="0"/>
      <w:marBottom w:val="0"/>
      <w:divBdr>
        <w:top w:val="none" w:sz="0" w:space="0" w:color="auto"/>
        <w:left w:val="none" w:sz="0" w:space="0" w:color="auto"/>
        <w:bottom w:val="none" w:sz="0" w:space="0" w:color="auto"/>
        <w:right w:val="none" w:sz="0" w:space="0" w:color="auto"/>
      </w:divBdr>
    </w:div>
    <w:div w:id="511728150">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734553143">
      <w:bodyDiv w:val="1"/>
      <w:marLeft w:val="0"/>
      <w:marRight w:val="0"/>
      <w:marTop w:val="0"/>
      <w:marBottom w:val="0"/>
      <w:divBdr>
        <w:top w:val="none" w:sz="0" w:space="0" w:color="auto"/>
        <w:left w:val="none" w:sz="0" w:space="0" w:color="auto"/>
        <w:bottom w:val="none" w:sz="0" w:space="0" w:color="auto"/>
        <w:right w:val="none" w:sz="0" w:space="0" w:color="auto"/>
      </w:divBdr>
    </w:div>
    <w:div w:id="908270012">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989406080">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670866204">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an@bhel.in" TargetMode="External"/><Relationship Id="rId13" Type="http://schemas.openxmlformats.org/officeDocument/2006/relationships/hyperlink" Target="https://dipp.gov.in/sites/default/files/PPP-MII%20Order%20dt%2029th%20May%2019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pp.gov.in/sites/default/files/Revised-PPP-MII-Order-2017_28052018.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pp.gov.in/sites/default/files/publicProcurement_MakeinIndia_15June2017.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cd@bhel.in" TargetMode="External"/><Relationship Id="rId4" Type="http://schemas.openxmlformats.org/officeDocument/2006/relationships/settings" Target="settings.xml"/><Relationship Id="rId9" Type="http://schemas.openxmlformats.org/officeDocument/2006/relationships/hyperlink" Target="mailto:aknived@bhel.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AC28D-3242-4A0F-A4A2-C1F05AEE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3633</Words>
  <Characters>20713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24298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dc:creator>
  <cp:keywords/>
  <dc:description/>
  <cp:lastModifiedBy>common</cp:lastModifiedBy>
  <cp:revision>2</cp:revision>
  <cp:lastPrinted>2020-08-19T12:50:00Z</cp:lastPrinted>
  <dcterms:created xsi:type="dcterms:W3CDTF">2020-08-20T07:02:00Z</dcterms:created>
  <dcterms:modified xsi:type="dcterms:W3CDTF">2020-08-20T07:02:00Z</dcterms:modified>
</cp:coreProperties>
</file>