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NoSpacing"/>
        <w:jc w:val="both"/>
        <w:rPr>
          <w:rFonts w:cstheme="minorHAnsi"/>
          <w:sz w:val="24"/>
          <w:szCs w:val="24"/>
        </w:rPr>
      </w:pPr>
      <w:r>
        <w:rPr>
          <w:rFonts w:cstheme="minorHAnsi"/>
          <w:sz w:val="24"/>
          <w:szCs w:val="24"/>
        </w:rPr>
        <w:t>TENDER DETAILS:</w:t>
      </w:r>
    </w:p>
    <w:p>
      <w:pPr>
        <w:pStyle w:val="NoSpacing"/>
        <w:jc w:val="both"/>
        <w:rPr>
          <w:rFonts w:cstheme="minorHAnsi"/>
          <w:sz w:val="24"/>
          <w:szCs w:val="24"/>
        </w:rPr>
      </w:pPr>
    </w:p>
    <w:p>
      <w:pPr>
        <w:pStyle w:val="NoSpacing"/>
        <w:jc w:val="both"/>
        <w:rPr>
          <w:rFonts w:cstheme="minorHAnsi"/>
          <w:sz w:val="24"/>
          <w:highlight w:val="yellow"/>
        </w:rPr>
      </w:pPr>
      <w:r>
        <w:rPr>
          <w:rFonts w:cstheme="minorHAnsi"/>
          <w:sz w:val="24"/>
          <w:highlight w:val="yellow"/>
        </w:rPr>
        <w:t>DESCRIPTION:</w:t>
      </w:r>
    </w:p>
    <w:p>
      <w:pPr>
        <w:pStyle w:val="NoSpacing"/>
        <w:jc w:val="both"/>
        <w:rPr>
          <w:rFonts w:cstheme="minorHAnsi"/>
          <w:sz w:val="24"/>
          <w:highlight w:val="yellow"/>
        </w:rPr>
      </w:pPr>
    </w:p>
    <w:p>
      <w:pPr>
        <w:pStyle w:val="NoSpacing"/>
        <w:numPr>
          <w:ilvl w:val="0"/>
          <w:numId w:val="1"/>
        </w:numPr>
        <w:jc w:val="both"/>
        <w:rPr>
          <w:rFonts w:cstheme="minorHAnsi"/>
          <w:sz w:val="24"/>
          <w:highlight w:val="yellow"/>
        </w:rPr>
      </w:pPr>
      <w:r>
        <w:rPr>
          <w:rFonts w:cstheme="minorHAnsi"/>
          <w:color w:val="333333"/>
          <w:sz w:val="24"/>
          <w:highlight w:val="yellow"/>
        </w:rPr>
        <w:t>OUTER MULTI TOOTH STAR WASHER HARDENED &amp; TEMPERED BLACKENED NUMBER OF TEETH 17 NOS OTHER DIMENSIONS ARE AS PER ENCLOSED SKETCH SK-2712/2019 FO</w:t>
      </w:r>
      <w:r>
        <w:rPr>
          <w:rFonts w:cstheme="minorHAnsi"/>
          <w:color w:val="333333"/>
          <w:sz w:val="24"/>
          <w:highlight w:val="yellow"/>
        </w:rPr>
        <w:t xml:space="preserve">R USE IN PORTABLE MACHINE TOOLS. </w:t>
      </w:r>
      <w:r>
        <w:rPr>
          <w:rFonts w:cstheme="minorHAnsi"/>
          <w:sz w:val="24"/>
          <w:highlight w:val="yellow"/>
        </w:rPr>
        <w:t>QUANTITY:</w:t>
      </w:r>
      <w:r>
        <w:rPr>
          <w:rFonts w:cstheme="minorHAnsi"/>
          <w:color w:val="333333"/>
          <w:sz w:val="24"/>
          <w:highlight w:val="yellow"/>
        </w:rPr>
        <w:t xml:space="preserve"> 200 no.</w:t>
      </w:r>
    </w:p>
    <w:p>
      <w:pPr>
        <w:pStyle w:val="NoSpacing"/>
        <w:jc w:val="both"/>
        <w:rPr>
          <w:rFonts w:cstheme="minorHAnsi"/>
          <w:sz w:val="24"/>
          <w:szCs w:val="24"/>
          <w:highlight w:val="yellow"/>
        </w:rPr>
      </w:pPr>
    </w:p>
    <w:p>
      <w:pPr>
        <w:pStyle w:val="NoSpacing"/>
        <w:jc w:val="both"/>
        <w:rPr>
          <w:rFonts w:cstheme="minorHAnsi"/>
          <w:sz w:val="24"/>
          <w:szCs w:val="24"/>
        </w:rPr>
      </w:pPr>
      <w:r>
        <w:rPr>
          <w:rFonts w:cstheme="minorHAnsi"/>
          <w:sz w:val="24"/>
          <w:szCs w:val="24"/>
          <w:highlight w:val="yellow"/>
        </w:rPr>
        <w:t>DELIVERY REQUIRED: AS PER NIT</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1) NO. OF BID PARTS- 2</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 DELIVERY TERMS- F.O.R. DESTINATION</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3) DELIVERY AT- CRX, BHEL, BHOPAL- 462022</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4) VALIDITY OF OFFER REQUIRED- 90 DAYS FROM TECHNICAL BID OPENING DATE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5) PRICE BASIS- FIRM</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6) BHEL STANDARD PAYMENT TERMS- 100% PAYMENT WITHIN 90 DAYS FROM RECEIPT &amp; ACCEPTANCE OF MATERIAL @ BHEL BHOPAL FOR NON-MSME VENDOR &amp; 100% PAYMENT WITHIN 45 DAYS FROM RECEIPT &amp; ACCEPTANCE OF MATERIAL @ BHEL BHOPAL FOR MSME VENDOR (SUBJECT TO SUBMISSION OF RELEVANT DOCUMENTS SUCH AS EM-II CERTIFICATE, CA CERTIFICATE, UDYOG MEMORANDUM ETC.)</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7) PENALTY- APPLICABLE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 xml:space="preserve">8) INSPECTION CONDITION- </w:t>
      </w:r>
      <w:r>
        <w:rPr>
          <w:rFonts w:cstheme="minorHAnsi"/>
          <w:color w:val="333333"/>
          <w:sz w:val="24"/>
          <w:szCs w:val="24"/>
          <w:highlight w:val="yellow"/>
        </w:rPr>
        <w:t>BY BHEL BHOPAL. SHOP TRIAL IF REQUIRED.</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9) RATE CONTRACT TERMS- AS PER NIT</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10) TECHNICAL CONDITION- AS PER DRG. / QAP (IF APPLICABLE)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11) QAP APPLICABILITY- AS PER NIT (NOT APPLICABLE IN THIS CASE)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12) GUARANTEE CERTIFICATE REQUIRED- YES</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13) TEST CERTIFICATE REQUIRED- YES</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14) SAMPLE REQUIRED- NO</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15) EVALUATION CRITERIA- ITEM WISE (OR OTHERWISE SPECIFIED IN NIT)</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16) SPLITTING OF ORDER: AS PER NIT (NOT APPLICABLE IN THIS CASE)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17) QTY. VARIATION- AS PER NIT (NOT APPLICABLE IN THIS CASE)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18) TOOLS/ GAUGES/ FIXTURES CONDITION- NOT APPLICABLE IN THIS CASE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19) PVC CLAUSE- NOT APPLICABLE.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20) ADDITIONAL TENDER REMARKS- IDENTIFICATION OF SUPPLIER IS COMPULSORY ON EACH JOB. SOON AFTER REJECTION OF MATERIAL, IT IS TO BE ENSURED BY SUPPLIER THAT MATERIAL SHOULD BE TAKEN BACK MAXIMUM WITHIN TWO WEEKS AFTER COMMUNICATION FOR RECTIFICATION/REPLACEMENT &amp; SUPPLY BACK THE RECTIFIED/FRESH MATERIAL TO BHEL BHOPAL WITHIN 30 DAYS FROM REJECTION. IN THE EVENT OF NON-LIFTING OF REJECTED MATERIAL BY SUPPLIER, BHEL WILL NOT BE RESPONSIBLE FOR LOSS OF SUCH ITEMS TO THE SUPPLIER IN ANY CASE.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21) FRAUD PREVENTION POLICY- THE BIDDER ALONG WITH ITS ASSOCIATE/COLLABORATORS/SUB-CONTRACTORS/SUB VENDORS/CONSULTANTS/SERVICE PROVIDERS SHALL STRICTLY ADHERE TO BHEL FRAUD PREVENTION POLICY DISPLAYED ON BHEL WEBSITE HTTP://WWW.BHEL.COM AND SHALL IMMEDIATELY BRING TO THE NOTICE OF BHEL MANAGEMENT ABOUT ANY FRAUD OR SUSPECTED FRAUD AS SOON AS IT COMES TO THEIR NOTICE.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highlight w:val="yellow"/>
        </w:rPr>
        <w:t>22) REVERSE AUCTION CLAUSE- AS PER NIT (NOT APPLICABLE IN THIS CASE)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 xml:space="preserve">23) IN THE COURSE OF EVALUATION, IF MORE THAN ONE BIDDER HAPPENS TO OCCUPY L-1 STATUS AND THE ORDER IS TO BE PLACED ON A SINGLE VENDOR, EFFECTIVE L-1 WILL BE DECIDED AS PER HIGHEST VENDOR PERFORMANCE RATING AS ON DATE- </w:t>
      </w:r>
      <w:r>
        <w:rPr>
          <w:rFonts w:cstheme="minorHAnsi"/>
          <w:sz w:val="24"/>
          <w:szCs w:val="24"/>
          <w:highlight w:val="yellow"/>
        </w:rPr>
        <w:t>02.01.20</w:t>
      </w:r>
      <w:r>
        <w:rPr>
          <w:rFonts w:cstheme="minorHAnsi"/>
          <w:sz w:val="24"/>
          <w:szCs w:val="24"/>
        </w:rPr>
        <w:t>. BHEL'S DECISION IN SUCH SITUATIONS SHALL BE FINAL AND BINDING.</w:t>
      </w:r>
    </w:p>
    <w:p>
      <w:pPr>
        <w:pStyle w:val="NoSpacing"/>
        <w:jc w:val="both"/>
        <w:rPr>
          <w:rFonts w:cstheme="minorHAnsi"/>
          <w:sz w:val="24"/>
          <w:szCs w:val="24"/>
        </w:rPr>
      </w:pPr>
      <w:bookmarkStart w:id="0" w:name="_GoBack"/>
      <w:bookmarkEnd w:id="0"/>
    </w:p>
    <w:p>
      <w:pPr>
        <w:pStyle w:val="NoSpacing"/>
        <w:jc w:val="both"/>
        <w:rPr>
          <w:rFonts w:cstheme="minorHAnsi"/>
          <w:sz w:val="24"/>
          <w:szCs w:val="24"/>
        </w:rPr>
      </w:pPr>
      <w:r>
        <w:rPr>
          <w:rFonts w:cstheme="minorHAnsi"/>
          <w:sz w:val="24"/>
          <w:szCs w:val="24"/>
        </w:rPr>
        <w:t>24) 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pPr>
        <w:pStyle w:val="NoSpacing"/>
        <w:jc w:val="both"/>
        <w:rPr>
          <w:rFonts w:cstheme="minorHAnsi"/>
          <w:sz w:val="24"/>
          <w:szCs w:val="24"/>
        </w:rPr>
      </w:pPr>
      <w:r>
        <w:rPr>
          <w:rFonts w:cstheme="minorHAnsi"/>
          <w:sz w:val="24"/>
          <w:szCs w:val="24"/>
        </w:rPr>
        <w:t>IN THE EVENT OF ANY NODAL MINISTRY PRESCRIBING HIGHER OR LOWER PERCENTAGE OF PURCHASE PREFERENCE AND / OR LOCAL CONTENT IN RESPECT OF THIS PROCUREMENT, SAME SHALL BE APPLICABLE.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25) VENDORS TO ALSO INFORM:</w:t>
      </w:r>
    </w:p>
    <w:p>
      <w:pPr>
        <w:pStyle w:val="NoSpacing"/>
        <w:jc w:val="both"/>
        <w:rPr>
          <w:rFonts w:cstheme="minorHAnsi"/>
          <w:sz w:val="24"/>
          <w:szCs w:val="24"/>
        </w:rPr>
      </w:pPr>
      <w:r>
        <w:rPr>
          <w:rFonts w:cstheme="minorHAnsi"/>
          <w:sz w:val="24"/>
          <w:szCs w:val="24"/>
        </w:rPr>
        <w:t>SELF CERTIFICATION OF MINIMUM LOCAL CONTENT IF MORE THAN 50%: YES/ NO.</w:t>
      </w:r>
    </w:p>
    <w:p>
      <w:pPr>
        <w:pStyle w:val="NoSpacing"/>
        <w:jc w:val="both"/>
        <w:rPr>
          <w:rFonts w:cstheme="minorHAnsi"/>
          <w:sz w:val="24"/>
          <w:szCs w:val="24"/>
        </w:rPr>
      </w:pPr>
      <w:r>
        <w:rPr>
          <w:rFonts w:cstheme="minorHAnsi"/>
          <w:sz w:val="24"/>
          <w:szCs w:val="24"/>
        </w:rPr>
        <w:t>SPELL OUT DETAILS OF LOCATION OF VALUE ADDITION.</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26) MARGIN OF PURCHASE PREFERENCE TO MAKE IN INDIA IS 20% AS PER GOVT. OF INDIA ORDER NO. P-45021/2/2017-BE-II DTD 15.06.17, SUPPLIERS TO COMPLY &amp; TAKE A NOTE OF THE SAME.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27) BIDDERS OR SUCCESSORS CAN BE DEBARRED FOR FALSE DECLARATIONS FOR UP TO  2 YEARS. DEBARRED SUPPLIERS NOT ELIGIBLE FOR PREFERENCE IN ANY OTHER PROCURING ENTITY.</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28) IN CASE OF ANY DISPUTES, BHEL CONCILIATION SCHEME 2018 SHALL BE APPLICABLE.</w:t>
      </w:r>
    </w:p>
    <w:p>
      <w:pPr>
        <w:pStyle w:val="NoSpacing"/>
        <w:jc w:val="both"/>
        <w:rPr>
          <w:rFonts w:cstheme="minorHAnsi"/>
          <w:sz w:val="24"/>
          <w:szCs w:val="24"/>
        </w:rPr>
      </w:pPr>
    </w:p>
    <w:p>
      <w:pPr>
        <w:pStyle w:val="NoSpacing"/>
        <w:jc w:val="both"/>
        <w:rPr>
          <w:rFonts w:cstheme="minorHAnsi"/>
          <w:sz w:val="24"/>
          <w:szCs w:val="24"/>
        </w:rPr>
      </w:pPr>
      <w:r>
        <w:rPr>
          <w:rFonts w:cstheme="minorHAnsi"/>
          <w:sz w:val="24"/>
          <w:szCs w:val="24"/>
        </w:rPr>
        <w:t>29) VENDOR TO INFORM BHEL IN CASE THEIR FAMILY FIRMS/ SISTER CONCERN AFFILIATES/ SUBSIDIARY FIRMS ARE PARTICIPATING IN THIS TENDER AND SUBMIT A DECLARATION THAT THEY ARE NOT INDULGED IN CARTEL FORMATION. IN CASE NO DETAIL IS PROVIDED, IT WILL BE ASSUMED THAT NONE OF VENDOR’S FAMILY FIRMS/ SISTER CONCERN AFFILIATES/ SUBSIDIARY FIRMS ARE PARTICIPATING IN THIS TENDER</w:t>
      </w:r>
    </w:p>
    <w:p>
      <w:pPr>
        <w:pStyle w:val="NoSpacing"/>
        <w:jc w:val="both"/>
        <w:rPr>
          <w:rFonts w:cstheme="minorHAnsi"/>
          <w:b/>
          <w:sz w:val="24"/>
          <w:szCs w:val="24"/>
        </w:rPr>
      </w:pPr>
    </w:p>
    <w:sectPr>
      <w:pgSz w:w="12240" w:h="15840"/>
      <w:pgMar w:top="630" w:right="81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D4B71"/>
    <w:multiLevelType w:val="hybridMultilevel"/>
    <w:tmpl w:val="6EB22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21F3A-7560-4EBC-98E0-831C8D21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3380">
          <w:marLeft w:val="0"/>
          <w:marRight w:val="0"/>
          <w:marTop w:val="0"/>
          <w:marBottom w:val="0"/>
          <w:divBdr>
            <w:top w:val="none" w:sz="0" w:space="0" w:color="auto"/>
            <w:left w:val="none" w:sz="0" w:space="0" w:color="auto"/>
            <w:bottom w:val="none" w:sz="0" w:space="0" w:color="auto"/>
            <w:right w:val="none" w:sz="0" w:space="0" w:color="auto"/>
          </w:divBdr>
          <w:divsChild>
            <w:div w:id="619067322">
              <w:marLeft w:val="0"/>
              <w:marRight w:val="0"/>
              <w:marTop w:val="0"/>
              <w:marBottom w:val="0"/>
              <w:divBdr>
                <w:top w:val="none" w:sz="0" w:space="0" w:color="auto"/>
                <w:left w:val="none" w:sz="0" w:space="0" w:color="auto"/>
                <w:bottom w:val="none" w:sz="0" w:space="0" w:color="auto"/>
                <w:right w:val="none" w:sz="0" w:space="0" w:color="auto"/>
              </w:divBdr>
              <w:divsChild>
                <w:div w:id="2022389781">
                  <w:marLeft w:val="0"/>
                  <w:marRight w:val="0"/>
                  <w:marTop w:val="0"/>
                  <w:marBottom w:val="0"/>
                  <w:divBdr>
                    <w:top w:val="none" w:sz="0" w:space="0" w:color="auto"/>
                    <w:left w:val="none" w:sz="0" w:space="0" w:color="auto"/>
                    <w:bottom w:val="none" w:sz="0" w:space="0" w:color="auto"/>
                    <w:right w:val="none" w:sz="0" w:space="0" w:color="auto"/>
                  </w:divBdr>
                  <w:divsChild>
                    <w:div w:id="1606112168">
                      <w:marLeft w:val="0"/>
                      <w:marRight w:val="0"/>
                      <w:marTop w:val="0"/>
                      <w:marBottom w:val="300"/>
                      <w:divBdr>
                        <w:top w:val="none" w:sz="0" w:space="0" w:color="auto"/>
                        <w:left w:val="none" w:sz="0" w:space="0" w:color="auto"/>
                        <w:bottom w:val="none" w:sz="0" w:space="0" w:color="auto"/>
                        <w:right w:val="none" w:sz="0" w:space="0" w:color="auto"/>
                      </w:divBdr>
                      <w:divsChild>
                        <w:div w:id="1492520329">
                          <w:marLeft w:val="-225"/>
                          <w:marRight w:val="-225"/>
                          <w:marTop w:val="0"/>
                          <w:marBottom w:val="0"/>
                          <w:divBdr>
                            <w:top w:val="none" w:sz="0" w:space="0" w:color="auto"/>
                            <w:left w:val="none" w:sz="0" w:space="0" w:color="auto"/>
                            <w:bottom w:val="none" w:sz="0" w:space="0" w:color="auto"/>
                            <w:right w:val="none" w:sz="0" w:space="0" w:color="auto"/>
                          </w:divBdr>
                          <w:divsChild>
                            <w:div w:id="567233533">
                              <w:marLeft w:val="0"/>
                              <w:marRight w:val="0"/>
                              <w:marTop w:val="0"/>
                              <w:marBottom w:val="0"/>
                              <w:divBdr>
                                <w:top w:val="none" w:sz="0" w:space="0" w:color="auto"/>
                                <w:left w:val="none" w:sz="0" w:space="0" w:color="auto"/>
                                <w:bottom w:val="none" w:sz="0" w:space="0" w:color="auto"/>
                                <w:right w:val="none" w:sz="0" w:space="0" w:color="auto"/>
                              </w:divBdr>
                              <w:divsChild>
                                <w:div w:id="1265501859">
                                  <w:marLeft w:val="0"/>
                                  <w:marRight w:val="0"/>
                                  <w:marTop w:val="0"/>
                                  <w:marBottom w:val="0"/>
                                  <w:divBdr>
                                    <w:top w:val="none" w:sz="0" w:space="0" w:color="auto"/>
                                    <w:left w:val="none" w:sz="0" w:space="0" w:color="auto"/>
                                    <w:bottom w:val="none" w:sz="0" w:space="0" w:color="auto"/>
                                    <w:right w:val="none" w:sz="0" w:space="0" w:color="auto"/>
                                  </w:divBdr>
                                  <w:divsChild>
                                    <w:div w:id="6962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976717">
      <w:bodyDiv w:val="1"/>
      <w:marLeft w:val="0"/>
      <w:marRight w:val="0"/>
      <w:marTop w:val="0"/>
      <w:marBottom w:val="0"/>
      <w:divBdr>
        <w:top w:val="none" w:sz="0" w:space="0" w:color="auto"/>
        <w:left w:val="none" w:sz="0" w:space="0" w:color="auto"/>
        <w:bottom w:val="none" w:sz="0" w:space="0" w:color="auto"/>
        <w:right w:val="none" w:sz="0" w:space="0" w:color="auto"/>
      </w:divBdr>
      <w:divsChild>
        <w:div w:id="98453126">
          <w:marLeft w:val="0"/>
          <w:marRight w:val="0"/>
          <w:marTop w:val="0"/>
          <w:marBottom w:val="0"/>
          <w:divBdr>
            <w:top w:val="none" w:sz="0" w:space="0" w:color="auto"/>
            <w:left w:val="none" w:sz="0" w:space="0" w:color="auto"/>
            <w:bottom w:val="none" w:sz="0" w:space="0" w:color="auto"/>
            <w:right w:val="none" w:sz="0" w:space="0" w:color="auto"/>
          </w:divBdr>
          <w:divsChild>
            <w:div w:id="1204050897">
              <w:marLeft w:val="0"/>
              <w:marRight w:val="0"/>
              <w:marTop w:val="0"/>
              <w:marBottom w:val="0"/>
              <w:divBdr>
                <w:top w:val="none" w:sz="0" w:space="0" w:color="auto"/>
                <w:left w:val="none" w:sz="0" w:space="0" w:color="auto"/>
                <w:bottom w:val="none" w:sz="0" w:space="0" w:color="auto"/>
                <w:right w:val="none" w:sz="0" w:space="0" w:color="auto"/>
              </w:divBdr>
              <w:divsChild>
                <w:div w:id="1630479865">
                  <w:marLeft w:val="0"/>
                  <w:marRight w:val="0"/>
                  <w:marTop w:val="0"/>
                  <w:marBottom w:val="0"/>
                  <w:divBdr>
                    <w:top w:val="none" w:sz="0" w:space="0" w:color="auto"/>
                    <w:left w:val="none" w:sz="0" w:space="0" w:color="auto"/>
                    <w:bottom w:val="none" w:sz="0" w:space="0" w:color="auto"/>
                    <w:right w:val="none" w:sz="0" w:space="0" w:color="auto"/>
                  </w:divBdr>
                  <w:divsChild>
                    <w:div w:id="1334799363">
                      <w:marLeft w:val="0"/>
                      <w:marRight w:val="0"/>
                      <w:marTop w:val="0"/>
                      <w:marBottom w:val="300"/>
                      <w:divBdr>
                        <w:top w:val="none" w:sz="0" w:space="0" w:color="auto"/>
                        <w:left w:val="none" w:sz="0" w:space="0" w:color="auto"/>
                        <w:bottom w:val="none" w:sz="0" w:space="0" w:color="auto"/>
                        <w:right w:val="none" w:sz="0" w:space="0" w:color="auto"/>
                      </w:divBdr>
                      <w:divsChild>
                        <w:div w:id="304437740">
                          <w:marLeft w:val="-225"/>
                          <w:marRight w:val="-225"/>
                          <w:marTop w:val="0"/>
                          <w:marBottom w:val="0"/>
                          <w:divBdr>
                            <w:top w:val="none" w:sz="0" w:space="0" w:color="auto"/>
                            <w:left w:val="none" w:sz="0" w:space="0" w:color="auto"/>
                            <w:bottom w:val="none" w:sz="0" w:space="0" w:color="auto"/>
                            <w:right w:val="none" w:sz="0" w:space="0" w:color="auto"/>
                          </w:divBdr>
                          <w:divsChild>
                            <w:div w:id="2075203960">
                              <w:marLeft w:val="0"/>
                              <w:marRight w:val="0"/>
                              <w:marTop w:val="0"/>
                              <w:marBottom w:val="0"/>
                              <w:divBdr>
                                <w:top w:val="none" w:sz="0" w:space="0" w:color="auto"/>
                                <w:left w:val="none" w:sz="0" w:space="0" w:color="auto"/>
                                <w:bottom w:val="none" w:sz="0" w:space="0" w:color="auto"/>
                                <w:right w:val="none" w:sz="0" w:space="0" w:color="auto"/>
                              </w:divBdr>
                              <w:divsChild>
                                <w:div w:id="1112897401">
                                  <w:marLeft w:val="0"/>
                                  <w:marRight w:val="0"/>
                                  <w:marTop w:val="0"/>
                                  <w:marBottom w:val="0"/>
                                  <w:divBdr>
                                    <w:top w:val="none" w:sz="0" w:space="0" w:color="auto"/>
                                    <w:left w:val="none" w:sz="0" w:space="0" w:color="auto"/>
                                    <w:bottom w:val="none" w:sz="0" w:space="0" w:color="auto"/>
                                    <w:right w:val="none" w:sz="0" w:space="0" w:color="auto"/>
                                  </w:divBdr>
                                  <w:divsChild>
                                    <w:div w:id="34748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9500311">
      <w:bodyDiv w:val="1"/>
      <w:marLeft w:val="0"/>
      <w:marRight w:val="0"/>
      <w:marTop w:val="0"/>
      <w:marBottom w:val="0"/>
      <w:divBdr>
        <w:top w:val="none" w:sz="0" w:space="0" w:color="auto"/>
        <w:left w:val="none" w:sz="0" w:space="0" w:color="auto"/>
        <w:bottom w:val="none" w:sz="0" w:space="0" w:color="auto"/>
        <w:right w:val="none" w:sz="0" w:space="0" w:color="auto"/>
      </w:divBdr>
      <w:divsChild>
        <w:div w:id="282078062">
          <w:marLeft w:val="0"/>
          <w:marRight w:val="0"/>
          <w:marTop w:val="0"/>
          <w:marBottom w:val="0"/>
          <w:divBdr>
            <w:top w:val="none" w:sz="0" w:space="0" w:color="auto"/>
            <w:left w:val="none" w:sz="0" w:space="0" w:color="auto"/>
            <w:bottom w:val="none" w:sz="0" w:space="0" w:color="auto"/>
            <w:right w:val="none" w:sz="0" w:space="0" w:color="auto"/>
          </w:divBdr>
          <w:divsChild>
            <w:div w:id="1599214340">
              <w:marLeft w:val="0"/>
              <w:marRight w:val="0"/>
              <w:marTop w:val="0"/>
              <w:marBottom w:val="0"/>
              <w:divBdr>
                <w:top w:val="none" w:sz="0" w:space="0" w:color="auto"/>
                <w:left w:val="none" w:sz="0" w:space="0" w:color="auto"/>
                <w:bottom w:val="none" w:sz="0" w:space="0" w:color="auto"/>
                <w:right w:val="none" w:sz="0" w:space="0" w:color="auto"/>
              </w:divBdr>
              <w:divsChild>
                <w:div w:id="581260059">
                  <w:marLeft w:val="0"/>
                  <w:marRight w:val="0"/>
                  <w:marTop w:val="0"/>
                  <w:marBottom w:val="0"/>
                  <w:divBdr>
                    <w:top w:val="none" w:sz="0" w:space="0" w:color="auto"/>
                    <w:left w:val="none" w:sz="0" w:space="0" w:color="auto"/>
                    <w:bottom w:val="none" w:sz="0" w:space="0" w:color="auto"/>
                    <w:right w:val="none" w:sz="0" w:space="0" w:color="auto"/>
                  </w:divBdr>
                  <w:divsChild>
                    <w:div w:id="1925918817">
                      <w:marLeft w:val="0"/>
                      <w:marRight w:val="0"/>
                      <w:marTop w:val="0"/>
                      <w:marBottom w:val="300"/>
                      <w:divBdr>
                        <w:top w:val="none" w:sz="0" w:space="0" w:color="auto"/>
                        <w:left w:val="none" w:sz="0" w:space="0" w:color="auto"/>
                        <w:bottom w:val="none" w:sz="0" w:space="0" w:color="auto"/>
                        <w:right w:val="none" w:sz="0" w:space="0" w:color="auto"/>
                      </w:divBdr>
                      <w:divsChild>
                        <w:div w:id="1139179475">
                          <w:marLeft w:val="-225"/>
                          <w:marRight w:val="-225"/>
                          <w:marTop w:val="0"/>
                          <w:marBottom w:val="0"/>
                          <w:divBdr>
                            <w:top w:val="none" w:sz="0" w:space="0" w:color="auto"/>
                            <w:left w:val="none" w:sz="0" w:space="0" w:color="auto"/>
                            <w:bottom w:val="none" w:sz="0" w:space="0" w:color="auto"/>
                            <w:right w:val="none" w:sz="0" w:space="0" w:color="auto"/>
                          </w:divBdr>
                          <w:divsChild>
                            <w:div w:id="1136341638">
                              <w:marLeft w:val="0"/>
                              <w:marRight w:val="0"/>
                              <w:marTop w:val="0"/>
                              <w:marBottom w:val="0"/>
                              <w:divBdr>
                                <w:top w:val="none" w:sz="0" w:space="0" w:color="auto"/>
                                <w:left w:val="none" w:sz="0" w:space="0" w:color="auto"/>
                                <w:bottom w:val="none" w:sz="0" w:space="0" w:color="auto"/>
                                <w:right w:val="none" w:sz="0" w:space="0" w:color="auto"/>
                              </w:divBdr>
                              <w:divsChild>
                                <w:div w:id="2100787384">
                                  <w:marLeft w:val="0"/>
                                  <w:marRight w:val="0"/>
                                  <w:marTop w:val="0"/>
                                  <w:marBottom w:val="0"/>
                                  <w:divBdr>
                                    <w:top w:val="none" w:sz="0" w:space="0" w:color="auto"/>
                                    <w:left w:val="none" w:sz="0" w:space="0" w:color="auto"/>
                                    <w:bottom w:val="none" w:sz="0" w:space="0" w:color="auto"/>
                                    <w:right w:val="none" w:sz="0" w:space="0" w:color="auto"/>
                                  </w:divBdr>
                                  <w:divsChild>
                                    <w:div w:id="121354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378565">
      <w:bodyDiv w:val="1"/>
      <w:marLeft w:val="0"/>
      <w:marRight w:val="0"/>
      <w:marTop w:val="0"/>
      <w:marBottom w:val="0"/>
      <w:divBdr>
        <w:top w:val="none" w:sz="0" w:space="0" w:color="auto"/>
        <w:left w:val="none" w:sz="0" w:space="0" w:color="auto"/>
        <w:bottom w:val="none" w:sz="0" w:space="0" w:color="auto"/>
        <w:right w:val="none" w:sz="0" w:space="0" w:color="auto"/>
      </w:divBdr>
      <w:divsChild>
        <w:div w:id="913513456">
          <w:marLeft w:val="0"/>
          <w:marRight w:val="0"/>
          <w:marTop w:val="0"/>
          <w:marBottom w:val="0"/>
          <w:divBdr>
            <w:top w:val="none" w:sz="0" w:space="0" w:color="auto"/>
            <w:left w:val="none" w:sz="0" w:space="0" w:color="auto"/>
            <w:bottom w:val="none" w:sz="0" w:space="0" w:color="auto"/>
            <w:right w:val="none" w:sz="0" w:space="0" w:color="auto"/>
          </w:divBdr>
          <w:divsChild>
            <w:div w:id="56436680">
              <w:marLeft w:val="0"/>
              <w:marRight w:val="0"/>
              <w:marTop w:val="0"/>
              <w:marBottom w:val="0"/>
              <w:divBdr>
                <w:top w:val="none" w:sz="0" w:space="0" w:color="auto"/>
                <w:left w:val="none" w:sz="0" w:space="0" w:color="auto"/>
                <w:bottom w:val="none" w:sz="0" w:space="0" w:color="auto"/>
                <w:right w:val="none" w:sz="0" w:space="0" w:color="auto"/>
              </w:divBdr>
              <w:divsChild>
                <w:div w:id="1208642698">
                  <w:marLeft w:val="0"/>
                  <w:marRight w:val="0"/>
                  <w:marTop w:val="0"/>
                  <w:marBottom w:val="0"/>
                  <w:divBdr>
                    <w:top w:val="none" w:sz="0" w:space="0" w:color="auto"/>
                    <w:left w:val="none" w:sz="0" w:space="0" w:color="auto"/>
                    <w:bottom w:val="none" w:sz="0" w:space="0" w:color="auto"/>
                    <w:right w:val="none" w:sz="0" w:space="0" w:color="auto"/>
                  </w:divBdr>
                  <w:divsChild>
                    <w:div w:id="1158613488">
                      <w:marLeft w:val="0"/>
                      <w:marRight w:val="0"/>
                      <w:marTop w:val="0"/>
                      <w:marBottom w:val="300"/>
                      <w:divBdr>
                        <w:top w:val="none" w:sz="0" w:space="0" w:color="auto"/>
                        <w:left w:val="none" w:sz="0" w:space="0" w:color="auto"/>
                        <w:bottom w:val="none" w:sz="0" w:space="0" w:color="auto"/>
                        <w:right w:val="none" w:sz="0" w:space="0" w:color="auto"/>
                      </w:divBdr>
                      <w:divsChild>
                        <w:div w:id="1602644164">
                          <w:marLeft w:val="-225"/>
                          <w:marRight w:val="-225"/>
                          <w:marTop w:val="0"/>
                          <w:marBottom w:val="0"/>
                          <w:divBdr>
                            <w:top w:val="none" w:sz="0" w:space="0" w:color="auto"/>
                            <w:left w:val="none" w:sz="0" w:space="0" w:color="auto"/>
                            <w:bottom w:val="none" w:sz="0" w:space="0" w:color="auto"/>
                            <w:right w:val="none" w:sz="0" w:space="0" w:color="auto"/>
                          </w:divBdr>
                          <w:divsChild>
                            <w:div w:id="1985575453">
                              <w:marLeft w:val="0"/>
                              <w:marRight w:val="0"/>
                              <w:marTop w:val="0"/>
                              <w:marBottom w:val="0"/>
                              <w:divBdr>
                                <w:top w:val="none" w:sz="0" w:space="0" w:color="auto"/>
                                <w:left w:val="none" w:sz="0" w:space="0" w:color="auto"/>
                                <w:bottom w:val="none" w:sz="0" w:space="0" w:color="auto"/>
                                <w:right w:val="none" w:sz="0" w:space="0" w:color="auto"/>
                              </w:divBdr>
                              <w:divsChild>
                                <w:div w:id="1854757053">
                                  <w:marLeft w:val="0"/>
                                  <w:marRight w:val="0"/>
                                  <w:marTop w:val="0"/>
                                  <w:marBottom w:val="0"/>
                                  <w:divBdr>
                                    <w:top w:val="none" w:sz="0" w:space="0" w:color="auto"/>
                                    <w:left w:val="none" w:sz="0" w:space="0" w:color="auto"/>
                                    <w:bottom w:val="none" w:sz="0" w:space="0" w:color="auto"/>
                                    <w:right w:val="none" w:sz="0" w:space="0" w:color="auto"/>
                                  </w:divBdr>
                                  <w:divsChild>
                                    <w:div w:id="44138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5074050">
      <w:bodyDiv w:val="1"/>
      <w:marLeft w:val="0"/>
      <w:marRight w:val="0"/>
      <w:marTop w:val="0"/>
      <w:marBottom w:val="0"/>
      <w:divBdr>
        <w:top w:val="none" w:sz="0" w:space="0" w:color="auto"/>
        <w:left w:val="none" w:sz="0" w:space="0" w:color="auto"/>
        <w:bottom w:val="none" w:sz="0" w:space="0" w:color="auto"/>
        <w:right w:val="none" w:sz="0" w:space="0" w:color="auto"/>
      </w:divBdr>
      <w:divsChild>
        <w:div w:id="1258518805">
          <w:marLeft w:val="0"/>
          <w:marRight w:val="0"/>
          <w:marTop w:val="0"/>
          <w:marBottom w:val="0"/>
          <w:divBdr>
            <w:top w:val="none" w:sz="0" w:space="0" w:color="auto"/>
            <w:left w:val="none" w:sz="0" w:space="0" w:color="auto"/>
            <w:bottom w:val="none" w:sz="0" w:space="0" w:color="auto"/>
            <w:right w:val="none" w:sz="0" w:space="0" w:color="auto"/>
          </w:divBdr>
          <w:divsChild>
            <w:div w:id="56125269">
              <w:marLeft w:val="0"/>
              <w:marRight w:val="0"/>
              <w:marTop w:val="0"/>
              <w:marBottom w:val="0"/>
              <w:divBdr>
                <w:top w:val="none" w:sz="0" w:space="0" w:color="auto"/>
                <w:left w:val="none" w:sz="0" w:space="0" w:color="auto"/>
                <w:bottom w:val="none" w:sz="0" w:space="0" w:color="auto"/>
                <w:right w:val="none" w:sz="0" w:space="0" w:color="auto"/>
              </w:divBdr>
              <w:divsChild>
                <w:div w:id="418983402">
                  <w:marLeft w:val="0"/>
                  <w:marRight w:val="0"/>
                  <w:marTop w:val="0"/>
                  <w:marBottom w:val="0"/>
                  <w:divBdr>
                    <w:top w:val="none" w:sz="0" w:space="0" w:color="auto"/>
                    <w:left w:val="none" w:sz="0" w:space="0" w:color="auto"/>
                    <w:bottom w:val="none" w:sz="0" w:space="0" w:color="auto"/>
                    <w:right w:val="none" w:sz="0" w:space="0" w:color="auto"/>
                  </w:divBdr>
                  <w:divsChild>
                    <w:div w:id="988904367">
                      <w:marLeft w:val="0"/>
                      <w:marRight w:val="0"/>
                      <w:marTop w:val="0"/>
                      <w:marBottom w:val="300"/>
                      <w:divBdr>
                        <w:top w:val="none" w:sz="0" w:space="0" w:color="auto"/>
                        <w:left w:val="none" w:sz="0" w:space="0" w:color="auto"/>
                        <w:bottom w:val="none" w:sz="0" w:space="0" w:color="auto"/>
                        <w:right w:val="none" w:sz="0" w:space="0" w:color="auto"/>
                      </w:divBdr>
                      <w:divsChild>
                        <w:div w:id="520974175">
                          <w:marLeft w:val="-225"/>
                          <w:marRight w:val="-225"/>
                          <w:marTop w:val="0"/>
                          <w:marBottom w:val="0"/>
                          <w:divBdr>
                            <w:top w:val="none" w:sz="0" w:space="0" w:color="auto"/>
                            <w:left w:val="none" w:sz="0" w:space="0" w:color="auto"/>
                            <w:bottom w:val="none" w:sz="0" w:space="0" w:color="auto"/>
                            <w:right w:val="none" w:sz="0" w:space="0" w:color="auto"/>
                          </w:divBdr>
                          <w:divsChild>
                            <w:div w:id="1483499618">
                              <w:marLeft w:val="0"/>
                              <w:marRight w:val="0"/>
                              <w:marTop w:val="0"/>
                              <w:marBottom w:val="0"/>
                              <w:divBdr>
                                <w:top w:val="none" w:sz="0" w:space="0" w:color="auto"/>
                                <w:left w:val="none" w:sz="0" w:space="0" w:color="auto"/>
                                <w:bottom w:val="none" w:sz="0" w:space="0" w:color="auto"/>
                                <w:right w:val="none" w:sz="0" w:space="0" w:color="auto"/>
                              </w:divBdr>
                              <w:divsChild>
                                <w:div w:id="1991791671">
                                  <w:marLeft w:val="0"/>
                                  <w:marRight w:val="0"/>
                                  <w:marTop w:val="0"/>
                                  <w:marBottom w:val="0"/>
                                  <w:divBdr>
                                    <w:top w:val="none" w:sz="0" w:space="0" w:color="auto"/>
                                    <w:left w:val="none" w:sz="0" w:space="0" w:color="auto"/>
                                    <w:bottom w:val="none" w:sz="0" w:space="0" w:color="auto"/>
                                    <w:right w:val="none" w:sz="0" w:space="0" w:color="auto"/>
                                  </w:divBdr>
                                  <w:divsChild>
                                    <w:div w:id="2467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004964">
      <w:bodyDiv w:val="1"/>
      <w:marLeft w:val="0"/>
      <w:marRight w:val="0"/>
      <w:marTop w:val="0"/>
      <w:marBottom w:val="0"/>
      <w:divBdr>
        <w:top w:val="none" w:sz="0" w:space="0" w:color="auto"/>
        <w:left w:val="none" w:sz="0" w:space="0" w:color="auto"/>
        <w:bottom w:val="none" w:sz="0" w:space="0" w:color="auto"/>
        <w:right w:val="none" w:sz="0" w:space="0" w:color="auto"/>
      </w:divBdr>
      <w:divsChild>
        <w:div w:id="1772240172">
          <w:marLeft w:val="0"/>
          <w:marRight w:val="0"/>
          <w:marTop w:val="0"/>
          <w:marBottom w:val="0"/>
          <w:divBdr>
            <w:top w:val="none" w:sz="0" w:space="0" w:color="auto"/>
            <w:left w:val="none" w:sz="0" w:space="0" w:color="auto"/>
            <w:bottom w:val="none" w:sz="0" w:space="0" w:color="auto"/>
            <w:right w:val="none" w:sz="0" w:space="0" w:color="auto"/>
          </w:divBdr>
          <w:divsChild>
            <w:div w:id="1029603313">
              <w:marLeft w:val="0"/>
              <w:marRight w:val="0"/>
              <w:marTop w:val="0"/>
              <w:marBottom w:val="0"/>
              <w:divBdr>
                <w:top w:val="none" w:sz="0" w:space="0" w:color="auto"/>
                <w:left w:val="none" w:sz="0" w:space="0" w:color="auto"/>
                <w:bottom w:val="none" w:sz="0" w:space="0" w:color="auto"/>
                <w:right w:val="none" w:sz="0" w:space="0" w:color="auto"/>
              </w:divBdr>
              <w:divsChild>
                <w:div w:id="517083489">
                  <w:marLeft w:val="0"/>
                  <w:marRight w:val="0"/>
                  <w:marTop w:val="0"/>
                  <w:marBottom w:val="0"/>
                  <w:divBdr>
                    <w:top w:val="none" w:sz="0" w:space="0" w:color="auto"/>
                    <w:left w:val="none" w:sz="0" w:space="0" w:color="auto"/>
                    <w:bottom w:val="none" w:sz="0" w:space="0" w:color="auto"/>
                    <w:right w:val="none" w:sz="0" w:space="0" w:color="auto"/>
                  </w:divBdr>
                  <w:divsChild>
                    <w:div w:id="396441371">
                      <w:marLeft w:val="0"/>
                      <w:marRight w:val="0"/>
                      <w:marTop w:val="0"/>
                      <w:marBottom w:val="300"/>
                      <w:divBdr>
                        <w:top w:val="none" w:sz="0" w:space="0" w:color="auto"/>
                        <w:left w:val="none" w:sz="0" w:space="0" w:color="auto"/>
                        <w:bottom w:val="none" w:sz="0" w:space="0" w:color="auto"/>
                        <w:right w:val="none" w:sz="0" w:space="0" w:color="auto"/>
                      </w:divBdr>
                      <w:divsChild>
                        <w:div w:id="118914244">
                          <w:marLeft w:val="-225"/>
                          <w:marRight w:val="-225"/>
                          <w:marTop w:val="0"/>
                          <w:marBottom w:val="0"/>
                          <w:divBdr>
                            <w:top w:val="none" w:sz="0" w:space="0" w:color="auto"/>
                            <w:left w:val="none" w:sz="0" w:space="0" w:color="auto"/>
                            <w:bottom w:val="none" w:sz="0" w:space="0" w:color="auto"/>
                            <w:right w:val="none" w:sz="0" w:space="0" w:color="auto"/>
                          </w:divBdr>
                          <w:divsChild>
                            <w:div w:id="865484751">
                              <w:marLeft w:val="0"/>
                              <w:marRight w:val="0"/>
                              <w:marTop w:val="0"/>
                              <w:marBottom w:val="0"/>
                              <w:divBdr>
                                <w:top w:val="none" w:sz="0" w:space="0" w:color="auto"/>
                                <w:left w:val="none" w:sz="0" w:space="0" w:color="auto"/>
                                <w:bottom w:val="none" w:sz="0" w:space="0" w:color="auto"/>
                                <w:right w:val="none" w:sz="0" w:space="0" w:color="auto"/>
                              </w:divBdr>
                              <w:divsChild>
                                <w:div w:id="1902062416">
                                  <w:marLeft w:val="0"/>
                                  <w:marRight w:val="0"/>
                                  <w:marTop w:val="0"/>
                                  <w:marBottom w:val="0"/>
                                  <w:divBdr>
                                    <w:top w:val="none" w:sz="0" w:space="0" w:color="auto"/>
                                    <w:left w:val="none" w:sz="0" w:space="0" w:color="auto"/>
                                    <w:bottom w:val="none" w:sz="0" w:space="0" w:color="auto"/>
                                    <w:right w:val="none" w:sz="0" w:space="0" w:color="auto"/>
                                  </w:divBdr>
                                  <w:divsChild>
                                    <w:div w:id="67981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2</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3062996</dc:creator>
  <cp:keywords/>
  <dc:description/>
  <cp:lastModifiedBy>3062996</cp:lastModifiedBy>
  <cp:revision>76</cp:revision>
  <dcterms:created xsi:type="dcterms:W3CDTF">2019-05-28T07:50:00Z</dcterms:created>
  <dcterms:modified xsi:type="dcterms:W3CDTF">2020-01-06T05:25:00Z</dcterms:modified>
</cp:coreProperties>
</file>