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NoSpacing"/>
        <w:jc w:val="both"/>
        <w:rPr>
          <w:rFonts w:cstheme="minorHAnsi"/>
        </w:rPr>
      </w:pPr>
      <w:r>
        <w:rPr>
          <w:rFonts w:cstheme="minorHAnsi"/>
        </w:rPr>
        <w:t>TENDER DETAILS:</w:t>
      </w:r>
    </w:p>
    <w:p>
      <w:pPr>
        <w:pStyle w:val="NoSpacing"/>
        <w:jc w:val="both"/>
        <w:rPr>
          <w:rFonts w:cstheme="minorHAnsi"/>
        </w:rPr>
      </w:pPr>
    </w:p>
    <w:p>
      <w:pPr>
        <w:pStyle w:val="NoSpacing"/>
        <w:jc w:val="both"/>
        <w:rPr>
          <w:rFonts w:cstheme="minorHAnsi"/>
          <w:highlight w:val="yellow"/>
        </w:rPr>
      </w:pPr>
      <w:r>
        <w:rPr>
          <w:rFonts w:cstheme="minorHAnsi"/>
          <w:highlight w:val="yellow"/>
        </w:rPr>
        <w:t>DESCRIPTION:</w:t>
      </w:r>
    </w:p>
    <w:p>
      <w:pPr>
        <w:pStyle w:val="NoSpacing"/>
        <w:jc w:val="both"/>
        <w:rPr>
          <w:rFonts w:cstheme="minorHAnsi"/>
          <w:highlight w:val="yellow"/>
        </w:rPr>
      </w:pPr>
    </w:p>
    <w:p>
      <w:pPr>
        <w:pStyle w:val="NoSpacing"/>
        <w:numPr>
          <w:ilvl w:val="0"/>
          <w:numId w:val="1"/>
        </w:numPr>
        <w:jc w:val="both"/>
        <w:rPr>
          <w:rFonts w:cstheme="minorHAnsi"/>
          <w:highlight w:val="yellow"/>
        </w:rPr>
      </w:pPr>
      <w:r>
        <w:rPr>
          <w:rFonts w:ascii="Arial" w:hAnsi="Arial" w:cs="Arial"/>
          <w:color w:val="333333"/>
          <w:sz w:val="18"/>
          <w:szCs w:val="18"/>
          <w:highlight w:val="yellow"/>
        </w:rPr>
        <w:t xml:space="preserve">PISTOL GRIP PNEUMATIC DRILL MACHINE WITH CHUCK, CHUCK CAPACITY = 1/2" OR 13MM, RPM &gt;/= 800, POWER &gt;/= TO 1 HP, STALL TORQUE &gt;/= 19 NM (FOR DRILLING OF 64 NO HOLES FOR CABLE CLEAT IN STATOR OF 6FRA6068) </w:t>
      </w:r>
      <w:r>
        <w:rPr>
          <w:rFonts w:cstheme="minorHAnsi"/>
          <w:highlight w:val="yellow"/>
        </w:rPr>
        <w:t>QUANTITY:</w:t>
      </w:r>
      <w:r>
        <w:rPr>
          <w:rFonts w:cstheme="minorHAnsi"/>
          <w:color w:val="333333"/>
          <w:highlight w:val="yellow"/>
        </w:rPr>
        <w:t xml:space="preserve"> 4 no.</w:t>
      </w:r>
    </w:p>
    <w:p>
      <w:pPr>
        <w:pStyle w:val="NoSpacing"/>
        <w:jc w:val="both"/>
        <w:rPr>
          <w:rFonts w:cstheme="minorHAnsi"/>
          <w:highlight w:val="yellow"/>
        </w:rPr>
      </w:pPr>
    </w:p>
    <w:p>
      <w:pPr>
        <w:pStyle w:val="NoSpacing"/>
        <w:jc w:val="both"/>
        <w:rPr>
          <w:rFonts w:cstheme="minorHAnsi"/>
        </w:rPr>
      </w:pPr>
      <w:r>
        <w:rPr>
          <w:rFonts w:cstheme="minorHAnsi"/>
          <w:highlight w:val="yellow"/>
        </w:rPr>
        <w:t>DELIVERY REQUIRED: AS PER NIT</w:t>
      </w:r>
    </w:p>
    <w:p>
      <w:pPr>
        <w:pStyle w:val="NoSpacing"/>
        <w:jc w:val="both"/>
        <w:rPr>
          <w:rFonts w:cstheme="minorHAnsi"/>
        </w:rPr>
      </w:pPr>
    </w:p>
    <w:p>
      <w:pPr>
        <w:pStyle w:val="NoSpacing"/>
        <w:jc w:val="both"/>
        <w:rPr>
          <w:rFonts w:cstheme="minorHAnsi"/>
        </w:rPr>
      </w:pPr>
      <w:r>
        <w:rPr>
          <w:rFonts w:cstheme="minorHAnsi"/>
        </w:rPr>
        <w:t>1) NO. OF BID PARTS- 2</w:t>
      </w:r>
    </w:p>
    <w:p>
      <w:pPr>
        <w:pStyle w:val="NoSpacing"/>
        <w:jc w:val="both"/>
        <w:rPr>
          <w:rFonts w:cstheme="minorHAnsi"/>
        </w:rPr>
      </w:pPr>
    </w:p>
    <w:p>
      <w:pPr>
        <w:pStyle w:val="NoSpacing"/>
        <w:jc w:val="both"/>
        <w:rPr>
          <w:rFonts w:cstheme="minorHAnsi"/>
        </w:rPr>
      </w:pPr>
      <w:r>
        <w:rPr>
          <w:rFonts w:cstheme="minorHAnsi"/>
        </w:rPr>
        <w:t>2) DELIVERY TERMS- F.O.R. DESTINATION</w:t>
      </w:r>
    </w:p>
    <w:p>
      <w:pPr>
        <w:pStyle w:val="NoSpacing"/>
        <w:jc w:val="both"/>
        <w:rPr>
          <w:rFonts w:cstheme="minorHAnsi"/>
        </w:rPr>
      </w:pPr>
    </w:p>
    <w:p>
      <w:pPr>
        <w:pStyle w:val="NoSpacing"/>
        <w:jc w:val="both"/>
        <w:rPr>
          <w:rFonts w:cstheme="minorHAnsi"/>
        </w:rPr>
      </w:pPr>
      <w:r>
        <w:rPr>
          <w:rFonts w:cstheme="minorHAnsi"/>
        </w:rPr>
        <w:t>3) DELIVERY AT- CRX, BHEL, BHOPAL- 462022</w:t>
      </w:r>
      <w:bookmarkStart w:id="0" w:name="_GoBack"/>
      <w:bookmarkEnd w:id="0"/>
    </w:p>
    <w:p>
      <w:pPr>
        <w:pStyle w:val="NoSpacing"/>
        <w:jc w:val="both"/>
        <w:rPr>
          <w:rFonts w:cstheme="minorHAnsi"/>
        </w:rPr>
      </w:pPr>
    </w:p>
    <w:p>
      <w:pPr>
        <w:pStyle w:val="NoSpacing"/>
        <w:jc w:val="both"/>
        <w:rPr>
          <w:rFonts w:cstheme="minorHAnsi"/>
        </w:rPr>
      </w:pPr>
      <w:r>
        <w:rPr>
          <w:rFonts w:cstheme="minorHAnsi"/>
        </w:rPr>
        <w:t>4) VALIDITY OF OFFER REQUIRED- 90 DAYS FROM TECHNICAL BID OPENING DATE</w:t>
      </w:r>
    </w:p>
    <w:p>
      <w:pPr>
        <w:pStyle w:val="NoSpacing"/>
        <w:jc w:val="both"/>
        <w:rPr>
          <w:rFonts w:cstheme="minorHAnsi"/>
        </w:rPr>
      </w:pPr>
    </w:p>
    <w:p>
      <w:pPr>
        <w:pStyle w:val="NoSpacing"/>
        <w:jc w:val="both"/>
        <w:rPr>
          <w:rFonts w:cstheme="minorHAnsi"/>
        </w:rPr>
      </w:pPr>
      <w:r>
        <w:rPr>
          <w:rFonts w:cstheme="minorHAnsi"/>
        </w:rPr>
        <w:t>5) PRICE BASIS- FIRM</w:t>
      </w:r>
    </w:p>
    <w:p>
      <w:pPr>
        <w:pStyle w:val="NoSpacing"/>
        <w:jc w:val="both"/>
        <w:rPr>
          <w:rFonts w:cstheme="minorHAnsi"/>
        </w:rPr>
      </w:pPr>
    </w:p>
    <w:p>
      <w:pPr>
        <w:pStyle w:val="NoSpacing"/>
        <w:jc w:val="both"/>
        <w:rPr>
          <w:rFonts w:cstheme="minorHAnsi"/>
        </w:rPr>
      </w:pPr>
      <w:r>
        <w:rPr>
          <w:rFonts w:cstheme="minorHAnsi"/>
        </w:rPr>
        <w:t>6) BHEL STANDARD PAYMENT TERMS- 100% PAYMENT WITHIN 90 DAYS FROM RECEIPT &amp; ACCEPTANCE OF MATERIAL @ BHEL BHOPAL FOR NON-MSME VENDOR &amp; 100% PAYMENT WITHIN 45 DAYS FROM RECEIPT &amp; ACCEPTANCE OF MATERIAL @ BHEL BHOPAL FOR MSME VENDOR (SUBJECT TO SUBMISSION OF RELEVANT DOCUMENTS SUCH AS EM-II CERTIFICATE, CA CERTIFICATE, UDYOG MEMORANDUM ETC.)</w:t>
      </w:r>
    </w:p>
    <w:p>
      <w:pPr>
        <w:pStyle w:val="NoSpacing"/>
        <w:jc w:val="both"/>
        <w:rPr>
          <w:rFonts w:cstheme="minorHAnsi"/>
        </w:rPr>
      </w:pPr>
    </w:p>
    <w:p>
      <w:pPr>
        <w:pStyle w:val="NoSpacing"/>
        <w:jc w:val="both"/>
        <w:rPr>
          <w:rFonts w:cstheme="minorHAnsi"/>
        </w:rPr>
      </w:pPr>
      <w:r>
        <w:rPr>
          <w:rFonts w:cstheme="minorHAnsi"/>
        </w:rPr>
        <w:t>7) PENALTY- APPLICABLE</w:t>
      </w:r>
    </w:p>
    <w:p>
      <w:pPr>
        <w:pStyle w:val="NoSpacing"/>
        <w:jc w:val="both"/>
        <w:rPr>
          <w:rFonts w:cstheme="minorHAnsi"/>
        </w:rPr>
      </w:pPr>
    </w:p>
    <w:p>
      <w:pPr>
        <w:pStyle w:val="NoSpacing"/>
        <w:jc w:val="both"/>
        <w:rPr>
          <w:rFonts w:cstheme="minorHAnsi"/>
        </w:rPr>
      </w:pPr>
      <w:r>
        <w:rPr>
          <w:rFonts w:cstheme="minorHAnsi"/>
          <w:highlight w:val="yellow"/>
        </w:rPr>
        <w:t xml:space="preserve">8) INSPECTION CONDITION- </w:t>
      </w:r>
      <w:r>
        <w:rPr>
          <w:rFonts w:cstheme="minorHAnsi"/>
          <w:color w:val="333333"/>
          <w:highlight w:val="yellow"/>
        </w:rPr>
        <w:t>BY BHEL BHOPAL. SHOP TRIAL IF REQUIRED.</w:t>
      </w:r>
    </w:p>
    <w:p>
      <w:pPr>
        <w:pStyle w:val="NoSpacing"/>
        <w:jc w:val="both"/>
        <w:rPr>
          <w:rFonts w:cstheme="minorHAnsi"/>
        </w:rPr>
      </w:pPr>
    </w:p>
    <w:p>
      <w:pPr>
        <w:pStyle w:val="NoSpacing"/>
        <w:jc w:val="both"/>
        <w:rPr>
          <w:rFonts w:cstheme="minorHAnsi"/>
        </w:rPr>
      </w:pPr>
      <w:r>
        <w:rPr>
          <w:rFonts w:cstheme="minorHAnsi"/>
        </w:rPr>
        <w:t>9) RATE CONTRACT TERMS- AS PER NIT</w:t>
      </w:r>
    </w:p>
    <w:p>
      <w:pPr>
        <w:pStyle w:val="NoSpacing"/>
        <w:jc w:val="both"/>
        <w:rPr>
          <w:rFonts w:cstheme="minorHAnsi"/>
        </w:rPr>
      </w:pPr>
    </w:p>
    <w:p>
      <w:pPr>
        <w:pStyle w:val="NoSpacing"/>
        <w:jc w:val="both"/>
        <w:rPr>
          <w:rFonts w:cstheme="minorHAnsi"/>
        </w:rPr>
      </w:pPr>
      <w:r>
        <w:rPr>
          <w:rFonts w:cstheme="minorHAnsi"/>
        </w:rPr>
        <w:t>10) TECHNICAL CONDITION- AS PER DRG. / QAP (IF APPLICABLE)</w:t>
      </w:r>
    </w:p>
    <w:p>
      <w:pPr>
        <w:pStyle w:val="NoSpacing"/>
        <w:jc w:val="both"/>
        <w:rPr>
          <w:rFonts w:cstheme="minorHAnsi"/>
        </w:rPr>
      </w:pPr>
    </w:p>
    <w:p>
      <w:pPr>
        <w:pStyle w:val="NoSpacing"/>
        <w:jc w:val="both"/>
        <w:rPr>
          <w:rFonts w:cstheme="minorHAnsi"/>
        </w:rPr>
      </w:pPr>
      <w:r>
        <w:rPr>
          <w:rFonts w:cstheme="minorHAnsi"/>
          <w:highlight w:val="yellow"/>
        </w:rPr>
        <w:t>11) QAP APPLICABILITY- AS PER NIT (NOT APPLICABLE IN THIS CASE)</w:t>
      </w:r>
    </w:p>
    <w:p>
      <w:pPr>
        <w:pStyle w:val="NoSpacing"/>
        <w:jc w:val="both"/>
        <w:rPr>
          <w:rFonts w:cstheme="minorHAnsi"/>
        </w:rPr>
      </w:pPr>
    </w:p>
    <w:p>
      <w:pPr>
        <w:pStyle w:val="NoSpacing"/>
        <w:jc w:val="both"/>
        <w:rPr>
          <w:rFonts w:cstheme="minorHAnsi"/>
        </w:rPr>
      </w:pPr>
      <w:r>
        <w:rPr>
          <w:rFonts w:cstheme="minorHAnsi"/>
        </w:rPr>
        <w:t>12) GUARANTEE CERTIFICATE REQUIRED- YES</w:t>
      </w:r>
    </w:p>
    <w:p>
      <w:pPr>
        <w:pStyle w:val="NoSpacing"/>
        <w:jc w:val="both"/>
        <w:rPr>
          <w:rFonts w:cstheme="minorHAnsi"/>
        </w:rPr>
      </w:pPr>
    </w:p>
    <w:p>
      <w:pPr>
        <w:pStyle w:val="NoSpacing"/>
        <w:jc w:val="both"/>
        <w:rPr>
          <w:rFonts w:cstheme="minorHAnsi"/>
        </w:rPr>
      </w:pPr>
      <w:r>
        <w:rPr>
          <w:rFonts w:cstheme="minorHAnsi"/>
        </w:rPr>
        <w:t>13) TEST CERTIFICATE REQUIRED- YES</w:t>
      </w:r>
    </w:p>
    <w:p>
      <w:pPr>
        <w:pStyle w:val="NoSpacing"/>
        <w:jc w:val="both"/>
        <w:rPr>
          <w:rFonts w:cstheme="minorHAnsi"/>
        </w:rPr>
      </w:pPr>
    </w:p>
    <w:p>
      <w:pPr>
        <w:pStyle w:val="NoSpacing"/>
        <w:jc w:val="both"/>
        <w:rPr>
          <w:rFonts w:cstheme="minorHAnsi"/>
        </w:rPr>
      </w:pPr>
      <w:r>
        <w:rPr>
          <w:rFonts w:cstheme="minorHAnsi"/>
        </w:rPr>
        <w:t>14) SAMPLE REQUIRED- NO</w:t>
      </w:r>
    </w:p>
    <w:p>
      <w:pPr>
        <w:pStyle w:val="NoSpacing"/>
        <w:jc w:val="both"/>
        <w:rPr>
          <w:rFonts w:cstheme="minorHAnsi"/>
        </w:rPr>
      </w:pPr>
    </w:p>
    <w:p>
      <w:pPr>
        <w:pStyle w:val="NoSpacing"/>
        <w:jc w:val="both"/>
        <w:rPr>
          <w:rFonts w:cstheme="minorHAnsi"/>
        </w:rPr>
      </w:pPr>
      <w:r>
        <w:rPr>
          <w:rFonts w:cstheme="minorHAnsi"/>
        </w:rPr>
        <w:t>15) EVALUATION CRITERIA- ITEM WISE (OR OTHERWISE SPECIFIED IN NIT)</w:t>
      </w:r>
    </w:p>
    <w:p>
      <w:pPr>
        <w:pStyle w:val="NoSpacing"/>
        <w:jc w:val="both"/>
        <w:rPr>
          <w:rFonts w:cstheme="minorHAnsi"/>
        </w:rPr>
      </w:pPr>
    </w:p>
    <w:p>
      <w:pPr>
        <w:pStyle w:val="NoSpacing"/>
        <w:jc w:val="both"/>
        <w:rPr>
          <w:rFonts w:cstheme="minorHAnsi"/>
        </w:rPr>
      </w:pPr>
      <w:r>
        <w:rPr>
          <w:rFonts w:cstheme="minorHAnsi"/>
          <w:highlight w:val="yellow"/>
        </w:rPr>
        <w:t>16) SPLITTING OF ORDER: AS PER NIT (NOT APPLICABLE IN THIS CASE)</w:t>
      </w:r>
    </w:p>
    <w:p>
      <w:pPr>
        <w:pStyle w:val="NoSpacing"/>
        <w:jc w:val="both"/>
        <w:rPr>
          <w:rFonts w:cstheme="minorHAnsi"/>
        </w:rPr>
      </w:pPr>
    </w:p>
    <w:p>
      <w:pPr>
        <w:pStyle w:val="NoSpacing"/>
        <w:jc w:val="both"/>
        <w:rPr>
          <w:rFonts w:cstheme="minorHAnsi"/>
        </w:rPr>
      </w:pPr>
      <w:r>
        <w:rPr>
          <w:rFonts w:cstheme="minorHAnsi"/>
          <w:highlight w:val="yellow"/>
        </w:rPr>
        <w:t>17) QTY. VARIATION- AS PER NIT (NOT APPLICABLE IN THIS CASE)</w:t>
      </w:r>
    </w:p>
    <w:p>
      <w:pPr>
        <w:pStyle w:val="NoSpacing"/>
        <w:jc w:val="both"/>
        <w:rPr>
          <w:rFonts w:cstheme="minorHAnsi"/>
        </w:rPr>
      </w:pPr>
    </w:p>
    <w:p>
      <w:pPr>
        <w:pStyle w:val="NoSpacing"/>
        <w:jc w:val="both"/>
        <w:rPr>
          <w:rFonts w:cstheme="minorHAnsi"/>
        </w:rPr>
      </w:pPr>
      <w:r>
        <w:rPr>
          <w:rFonts w:cstheme="minorHAnsi"/>
          <w:highlight w:val="yellow"/>
        </w:rPr>
        <w:t>18) TOOLS/ GAUGES/ FIXTURES CONDITION- NOT APPLICABLE IN THIS CASE</w:t>
      </w:r>
    </w:p>
    <w:p>
      <w:pPr>
        <w:pStyle w:val="NoSpacing"/>
        <w:jc w:val="both"/>
        <w:rPr>
          <w:rFonts w:cstheme="minorHAnsi"/>
        </w:rPr>
      </w:pPr>
    </w:p>
    <w:p>
      <w:pPr>
        <w:pStyle w:val="NoSpacing"/>
        <w:jc w:val="both"/>
        <w:rPr>
          <w:rFonts w:cstheme="minorHAnsi"/>
        </w:rPr>
      </w:pPr>
      <w:r>
        <w:rPr>
          <w:rFonts w:cstheme="minorHAnsi"/>
          <w:highlight w:val="yellow"/>
        </w:rPr>
        <w:t>19) PVC CLAUSE- NOT APPLICABLE.</w:t>
      </w:r>
    </w:p>
    <w:p>
      <w:pPr>
        <w:pStyle w:val="NoSpacing"/>
        <w:jc w:val="both"/>
        <w:rPr>
          <w:rFonts w:cstheme="minorHAnsi"/>
        </w:rPr>
      </w:pPr>
    </w:p>
    <w:p>
      <w:pPr>
        <w:pStyle w:val="NoSpacing"/>
        <w:jc w:val="both"/>
        <w:rPr>
          <w:rFonts w:cstheme="minorHAnsi"/>
        </w:rPr>
      </w:pPr>
      <w:r>
        <w:rPr>
          <w:rFonts w:cstheme="minorHAnsi"/>
        </w:rPr>
        <w:t xml:space="preserve">20) ADDITIONAL TENDER REMARKS- IDENTIFICATION OF SUPPLIER IS COMPULSORY ON EACH JOB. SOON AFTER REJECTION OF MATERIAL, IT IS TO BE ENSURED BY SUPPLIER THAT MATERIAL SHOULD BE TAKEN BACK MAXIMUM </w:t>
      </w:r>
      <w:r>
        <w:rPr>
          <w:rFonts w:cstheme="minorHAnsi"/>
        </w:rPr>
        <w:lastRenderedPageBreak/>
        <w:t>WITHIN TWO WEEKS AFTER COMMUNICATION FOR RECTIFICATION/REPLACEMENT &amp; SUPPLY BACK THE RECTIFIED/FRESH MATERIAL TO BHEL BHOPAL WITHIN 30 DAYS FROM REJECTION. IN THE EVENT OF NON-LIFTING OF REJECTED MATERIAL BY SUPPLIER, BHEL WILL NOT BE RESPONSIBLE FOR LOSS OF SUCH ITEMS TO THE SUPPLIER IN ANY CASE.</w:t>
      </w:r>
    </w:p>
    <w:p>
      <w:pPr>
        <w:pStyle w:val="NoSpacing"/>
        <w:jc w:val="both"/>
        <w:rPr>
          <w:rFonts w:cstheme="minorHAnsi"/>
        </w:rPr>
      </w:pPr>
    </w:p>
    <w:p>
      <w:pPr>
        <w:pStyle w:val="NoSpacing"/>
        <w:jc w:val="both"/>
        <w:rPr>
          <w:rFonts w:cstheme="minorHAnsi"/>
        </w:rPr>
      </w:pPr>
      <w:r>
        <w:rPr>
          <w:rFonts w:cstheme="minorHAnsi"/>
        </w:rPr>
        <w:t>21) FRAUD PREVENTION POLICY- THE BIDDER ALONG WITH ITS ASSOCIATE/COLLABORATORS/SUB-CONTRACTORS/SUB VENDORS/CONSULTANTS/SERVICE PROVIDERS SHALL STRICTLY ADHERE TO BHEL FRAUD PREVENTION POLICY DISPLAYED ON BHEL WEBSITE HTTP://WWW.BHEL.COM AND SHALL IMMEDIATELY BRING TO THE NOTICE OF BHEL MANAGEMENT ABOUT ANY FRAUD OR SUSPECTED FRAUD AS SOON AS IT COMES TO THEIR NOTICE.</w:t>
      </w:r>
    </w:p>
    <w:p>
      <w:pPr>
        <w:pStyle w:val="NoSpacing"/>
        <w:jc w:val="both"/>
        <w:rPr>
          <w:rFonts w:cstheme="minorHAnsi"/>
        </w:rPr>
      </w:pPr>
    </w:p>
    <w:p>
      <w:pPr>
        <w:pStyle w:val="NoSpacing"/>
        <w:jc w:val="both"/>
        <w:rPr>
          <w:rFonts w:cstheme="minorHAnsi"/>
        </w:rPr>
      </w:pPr>
      <w:r>
        <w:rPr>
          <w:rFonts w:cstheme="minorHAnsi"/>
          <w:highlight w:val="yellow"/>
        </w:rPr>
        <w:t>22) REVERSE AUCTION CLAUSE- AS PER NIT (NOT APPLICABLE IN THIS CASE)</w:t>
      </w:r>
    </w:p>
    <w:p>
      <w:pPr>
        <w:pStyle w:val="NoSpacing"/>
        <w:jc w:val="both"/>
        <w:rPr>
          <w:rFonts w:cstheme="minorHAnsi"/>
        </w:rPr>
      </w:pPr>
    </w:p>
    <w:p>
      <w:pPr>
        <w:pStyle w:val="NoSpacing"/>
        <w:jc w:val="both"/>
        <w:rPr>
          <w:rFonts w:cstheme="minorHAnsi"/>
        </w:rPr>
      </w:pPr>
      <w:r>
        <w:rPr>
          <w:rFonts w:cstheme="minorHAnsi"/>
        </w:rPr>
        <w:t xml:space="preserve">23) </w:t>
      </w:r>
      <w:r>
        <w:t xml:space="preserve">IN THE COURSE OF EVALUATION, IF MORE THAN ONE BIDDER HAPPENS TO OCCUPY L-1 STATUS EFFECTIVE L1 WILL BE DECIDED BY SOLICITING DISCOUNTS FROM RESPECTIVE BIDDERS. IN CASE MORE THAN ONE BIDDER HAPPENS TO OCCUPY THE L1 STATUS EVEN AFTER SOLICITING DISCOUNTS, THE L1 BIDDER SHALL BE DECIDED BY A TOSS/ DRAW OF LOTS, IN THE PRESENCE OF RESPECTIVE L1 BIDDER (S)/ THEIR REPRESENCTATIVE (S). RANKING WILL BE DONE ACCORDINGLY. BHEL DECISION IN THIS REGARD SHALL BE FINAL AND BINDING. </w:t>
      </w:r>
    </w:p>
    <w:p>
      <w:pPr>
        <w:pStyle w:val="NoSpacing"/>
        <w:jc w:val="both"/>
        <w:rPr>
          <w:rFonts w:cstheme="minorHAnsi"/>
        </w:rPr>
      </w:pPr>
    </w:p>
    <w:p>
      <w:pPr>
        <w:pStyle w:val="NoSpacing"/>
        <w:jc w:val="both"/>
        <w:rPr>
          <w:rFonts w:cstheme="minorHAnsi"/>
        </w:rPr>
      </w:pPr>
      <w:r>
        <w:rPr>
          <w:rFonts w:cstheme="minorHAnsi"/>
        </w:rPr>
        <w:t>24) 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pPr>
        <w:pStyle w:val="NoSpacing"/>
        <w:jc w:val="both"/>
        <w:rPr>
          <w:rFonts w:cstheme="minorHAnsi"/>
        </w:rPr>
      </w:pPr>
      <w:r>
        <w:rPr>
          <w:rFonts w:cstheme="minorHAnsi"/>
        </w:rPr>
        <w:t>IN THE EVENT OF ANY NODAL MINISTRY PRESCRIBING HIGHER OR LOWER PERCENTAGE OF PURCHASE PREFERENCE AND / OR LOCAL CONTENT IN RESPECT OF THIS PROCUREMENT, SAME SHALL BE APPLICABLE.</w:t>
      </w:r>
    </w:p>
    <w:p>
      <w:pPr>
        <w:pStyle w:val="NoSpacing"/>
        <w:jc w:val="both"/>
        <w:rPr>
          <w:rFonts w:cstheme="minorHAnsi"/>
        </w:rPr>
      </w:pPr>
    </w:p>
    <w:p>
      <w:pPr>
        <w:pStyle w:val="NoSpacing"/>
        <w:jc w:val="both"/>
        <w:rPr>
          <w:rFonts w:cstheme="minorHAnsi"/>
        </w:rPr>
      </w:pPr>
      <w:r>
        <w:rPr>
          <w:rFonts w:cstheme="minorHAnsi"/>
        </w:rPr>
        <w:t>25) VENDORS TO ALSO INFORM:</w:t>
      </w:r>
    </w:p>
    <w:p>
      <w:pPr>
        <w:pStyle w:val="NoSpacing"/>
        <w:jc w:val="both"/>
        <w:rPr>
          <w:rFonts w:cstheme="minorHAnsi"/>
        </w:rPr>
      </w:pPr>
      <w:r>
        <w:rPr>
          <w:rFonts w:cstheme="minorHAnsi"/>
        </w:rPr>
        <w:t>SELF CERTIFICATION OF MINIMUM LOCAL CONTENT IF MORE THAN 50%: YES/ NO.</w:t>
      </w:r>
    </w:p>
    <w:p>
      <w:pPr>
        <w:pStyle w:val="NoSpacing"/>
        <w:jc w:val="both"/>
        <w:rPr>
          <w:rFonts w:cstheme="minorHAnsi"/>
        </w:rPr>
      </w:pPr>
      <w:r>
        <w:rPr>
          <w:rFonts w:cstheme="minorHAnsi"/>
        </w:rPr>
        <w:t>SPELL OUT DETAILS OF LOCATION OF VALUE ADDITION.</w:t>
      </w:r>
    </w:p>
    <w:p>
      <w:pPr>
        <w:pStyle w:val="NoSpacing"/>
        <w:jc w:val="both"/>
        <w:rPr>
          <w:rFonts w:cstheme="minorHAnsi"/>
        </w:rPr>
      </w:pPr>
    </w:p>
    <w:p>
      <w:pPr>
        <w:pStyle w:val="NoSpacing"/>
        <w:jc w:val="both"/>
        <w:rPr>
          <w:rFonts w:cstheme="minorHAnsi"/>
        </w:rPr>
      </w:pPr>
      <w:r>
        <w:rPr>
          <w:rFonts w:cstheme="minorHAnsi"/>
        </w:rPr>
        <w:t>26) MARGIN OF PURCHASE PREFERENCE TO MAKE IN INDIA IS 20% AS PER GOVT. OF INDIA ORDER NO. P-45021/2/2017-BE-II DTD 15.06.17, SUPPLIERS TO COMPLY &amp; TAKE A NOTE OF THE SAME.</w:t>
      </w:r>
    </w:p>
    <w:p>
      <w:pPr>
        <w:pStyle w:val="NoSpacing"/>
        <w:jc w:val="both"/>
        <w:rPr>
          <w:rFonts w:cstheme="minorHAnsi"/>
        </w:rPr>
      </w:pPr>
    </w:p>
    <w:p>
      <w:pPr>
        <w:pStyle w:val="NoSpacing"/>
        <w:jc w:val="both"/>
        <w:rPr>
          <w:rFonts w:cstheme="minorHAnsi"/>
        </w:rPr>
      </w:pPr>
      <w:r>
        <w:rPr>
          <w:rFonts w:cstheme="minorHAnsi"/>
        </w:rPr>
        <w:t>27) BIDDERS OR SUCCESSORS CAN BE DEBARRED FOR FALSE DECLARATIONS FOR UP TO  2 YEARS. DEBARRED SUPPLIERS NOT ELIGIBLE FOR PREFERENCE IN ANY OTHER PROCURING ENTITY.</w:t>
      </w:r>
    </w:p>
    <w:p>
      <w:pPr>
        <w:pStyle w:val="NoSpacing"/>
        <w:jc w:val="both"/>
        <w:rPr>
          <w:rFonts w:cstheme="minorHAnsi"/>
        </w:rPr>
      </w:pPr>
    </w:p>
    <w:p>
      <w:pPr>
        <w:pStyle w:val="NoSpacing"/>
        <w:jc w:val="both"/>
        <w:rPr>
          <w:rFonts w:cstheme="minorHAnsi"/>
        </w:rPr>
      </w:pPr>
      <w:r>
        <w:rPr>
          <w:rFonts w:cstheme="minorHAnsi"/>
        </w:rPr>
        <w:t>28) IN CASE OF ANY DISPUTES, BHEL CONCILIATION SCHEME 2018 SHALL BE APPLICABLE.</w:t>
      </w:r>
    </w:p>
    <w:p>
      <w:pPr>
        <w:pStyle w:val="NoSpacing"/>
        <w:jc w:val="both"/>
        <w:rPr>
          <w:rFonts w:cstheme="minorHAnsi"/>
        </w:rPr>
      </w:pPr>
    </w:p>
    <w:p>
      <w:pPr>
        <w:pStyle w:val="NoSpacing"/>
        <w:jc w:val="both"/>
        <w:rPr>
          <w:rFonts w:cstheme="minorHAnsi"/>
        </w:rPr>
      </w:pPr>
      <w:r>
        <w:rPr>
          <w:rFonts w:cstheme="minorHAnsi"/>
        </w:rPr>
        <w:t>29) VENDOR TO INFORM BHEL IN CASE THEIR FAMILY FIRMS/ SISTER CONCERN AFFILIATES/ SUBSIDIARY FIRMS ARE PARTICIPATING IN THIS TENDER AND SUBMIT A DECLARATION THAT THEY ARE NOT INDULGED IN CARTEL FORMATION. IN CASE NO DETAIL IS PROVIDED, IT WILL BE ASSUMED THAT NONE OF VENDOR’S FAMILY FIRMS/ SISTER CONCERN AFFILIATES/ SUBSIDIARY FIRMS ARE PARTICIPATING IN THIS TENDER</w:t>
      </w:r>
    </w:p>
    <w:p>
      <w:pPr>
        <w:pStyle w:val="NoSpacing"/>
        <w:jc w:val="both"/>
        <w:rPr>
          <w:rFonts w:cstheme="minorHAnsi"/>
          <w:b/>
        </w:rPr>
      </w:pPr>
    </w:p>
    <w:sectPr>
      <w:pgSz w:w="12240" w:h="15840"/>
      <w:pgMar w:top="630" w:right="81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FD4B71"/>
    <w:multiLevelType w:val="hybridMultilevel"/>
    <w:tmpl w:val="6EB22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021F3A-7560-4EBC-98E0-831C8D219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6377">
      <w:bodyDiv w:val="1"/>
      <w:marLeft w:val="0"/>
      <w:marRight w:val="0"/>
      <w:marTop w:val="0"/>
      <w:marBottom w:val="0"/>
      <w:divBdr>
        <w:top w:val="none" w:sz="0" w:space="0" w:color="auto"/>
        <w:left w:val="none" w:sz="0" w:space="0" w:color="auto"/>
        <w:bottom w:val="none" w:sz="0" w:space="0" w:color="auto"/>
        <w:right w:val="none" w:sz="0" w:space="0" w:color="auto"/>
      </w:divBdr>
      <w:divsChild>
        <w:div w:id="1927763380">
          <w:marLeft w:val="0"/>
          <w:marRight w:val="0"/>
          <w:marTop w:val="0"/>
          <w:marBottom w:val="0"/>
          <w:divBdr>
            <w:top w:val="none" w:sz="0" w:space="0" w:color="auto"/>
            <w:left w:val="none" w:sz="0" w:space="0" w:color="auto"/>
            <w:bottom w:val="none" w:sz="0" w:space="0" w:color="auto"/>
            <w:right w:val="none" w:sz="0" w:space="0" w:color="auto"/>
          </w:divBdr>
          <w:divsChild>
            <w:div w:id="619067322">
              <w:marLeft w:val="0"/>
              <w:marRight w:val="0"/>
              <w:marTop w:val="0"/>
              <w:marBottom w:val="0"/>
              <w:divBdr>
                <w:top w:val="none" w:sz="0" w:space="0" w:color="auto"/>
                <w:left w:val="none" w:sz="0" w:space="0" w:color="auto"/>
                <w:bottom w:val="none" w:sz="0" w:space="0" w:color="auto"/>
                <w:right w:val="none" w:sz="0" w:space="0" w:color="auto"/>
              </w:divBdr>
              <w:divsChild>
                <w:div w:id="2022389781">
                  <w:marLeft w:val="0"/>
                  <w:marRight w:val="0"/>
                  <w:marTop w:val="0"/>
                  <w:marBottom w:val="0"/>
                  <w:divBdr>
                    <w:top w:val="none" w:sz="0" w:space="0" w:color="auto"/>
                    <w:left w:val="none" w:sz="0" w:space="0" w:color="auto"/>
                    <w:bottom w:val="none" w:sz="0" w:space="0" w:color="auto"/>
                    <w:right w:val="none" w:sz="0" w:space="0" w:color="auto"/>
                  </w:divBdr>
                  <w:divsChild>
                    <w:div w:id="1606112168">
                      <w:marLeft w:val="0"/>
                      <w:marRight w:val="0"/>
                      <w:marTop w:val="0"/>
                      <w:marBottom w:val="300"/>
                      <w:divBdr>
                        <w:top w:val="none" w:sz="0" w:space="0" w:color="auto"/>
                        <w:left w:val="none" w:sz="0" w:space="0" w:color="auto"/>
                        <w:bottom w:val="none" w:sz="0" w:space="0" w:color="auto"/>
                        <w:right w:val="none" w:sz="0" w:space="0" w:color="auto"/>
                      </w:divBdr>
                      <w:divsChild>
                        <w:div w:id="1492520329">
                          <w:marLeft w:val="-225"/>
                          <w:marRight w:val="-225"/>
                          <w:marTop w:val="0"/>
                          <w:marBottom w:val="0"/>
                          <w:divBdr>
                            <w:top w:val="none" w:sz="0" w:space="0" w:color="auto"/>
                            <w:left w:val="none" w:sz="0" w:space="0" w:color="auto"/>
                            <w:bottom w:val="none" w:sz="0" w:space="0" w:color="auto"/>
                            <w:right w:val="none" w:sz="0" w:space="0" w:color="auto"/>
                          </w:divBdr>
                          <w:divsChild>
                            <w:div w:id="567233533">
                              <w:marLeft w:val="0"/>
                              <w:marRight w:val="0"/>
                              <w:marTop w:val="0"/>
                              <w:marBottom w:val="0"/>
                              <w:divBdr>
                                <w:top w:val="none" w:sz="0" w:space="0" w:color="auto"/>
                                <w:left w:val="none" w:sz="0" w:space="0" w:color="auto"/>
                                <w:bottom w:val="none" w:sz="0" w:space="0" w:color="auto"/>
                                <w:right w:val="none" w:sz="0" w:space="0" w:color="auto"/>
                              </w:divBdr>
                              <w:divsChild>
                                <w:div w:id="1265501859">
                                  <w:marLeft w:val="0"/>
                                  <w:marRight w:val="0"/>
                                  <w:marTop w:val="0"/>
                                  <w:marBottom w:val="0"/>
                                  <w:divBdr>
                                    <w:top w:val="none" w:sz="0" w:space="0" w:color="auto"/>
                                    <w:left w:val="none" w:sz="0" w:space="0" w:color="auto"/>
                                    <w:bottom w:val="none" w:sz="0" w:space="0" w:color="auto"/>
                                    <w:right w:val="none" w:sz="0" w:space="0" w:color="auto"/>
                                  </w:divBdr>
                                  <w:divsChild>
                                    <w:div w:id="6962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976717">
      <w:bodyDiv w:val="1"/>
      <w:marLeft w:val="0"/>
      <w:marRight w:val="0"/>
      <w:marTop w:val="0"/>
      <w:marBottom w:val="0"/>
      <w:divBdr>
        <w:top w:val="none" w:sz="0" w:space="0" w:color="auto"/>
        <w:left w:val="none" w:sz="0" w:space="0" w:color="auto"/>
        <w:bottom w:val="none" w:sz="0" w:space="0" w:color="auto"/>
        <w:right w:val="none" w:sz="0" w:space="0" w:color="auto"/>
      </w:divBdr>
      <w:divsChild>
        <w:div w:id="98453126">
          <w:marLeft w:val="0"/>
          <w:marRight w:val="0"/>
          <w:marTop w:val="0"/>
          <w:marBottom w:val="0"/>
          <w:divBdr>
            <w:top w:val="none" w:sz="0" w:space="0" w:color="auto"/>
            <w:left w:val="none" w:sz="0" w:space="0" w:color="auto"/>
            <w:bottom w:val="none" w:sz="0" w:space="0" w:color="auto"/>
            <w:right w:val="none" w:sz="0" w:space="0" w:color="auto"/>
          </w:divBdr>
          <w:divsChild>
            <w:div w:id="1204050897">
              <w:marLeft w:val="0"/>
              <w:marRight w:val="0"/>
              <w:marTop w:val="0"/>
              <w:marBottom w:val="0"/>
              <w:divBdr>
                <w:top w:val="none" w:sz="0" w:space="0" w:color="auto"/>
                <w:left w:val="none" w:sz="0" w:space="0" w:color="auto"/>
                <w:bottom w:val="none" w:sz="0" w:space="0" w:color="auto"/>
                <w:right w:val="none" w:sz="0" w:space="0" w:color="auto"/>
              </w:divBdr>
              <w:divsChild>
                <w:div w:id="1630479865">
                  <w:marLeft w:val="0"/>
                  <w:marRight w:val="0"/>
                  <w:marTop w:val="0"/>
                  <w:marBottom w:val="0"/>
                  <w:divBdr>
                    <w:top w:val="none" w:sz="0" w:space="0" w:color="auto"/>
                    <w:left w:val="none" w:sz="0" w:space="0" w:color="auto"/>
                    <w:bottom w:val="none" w:sz="0" w:space="0" w:color="auto"/>
                    <w:right w:val="none" w:sz="0" w:space="0" w:color="auto"/>
                  </w:divBdr>
                  <w:divsChild>
                    <w:div w:id="1334799363">
                      <w:marLeft w:val="0"/>
                      <w:marRight w:val="0"/>
                      <w:marTop w:val="0"/>
                      <w:marBottom w:val="300"/>
                      <w:divBdr>
                        <w:top w:val="none" w:sz="0" w:space="0" w:color="auto"/>
                        <w:left w:val="none" w:sz="0" w:space="0" w:color="auto"/>
                        <w:bottom w:val="none" w:sz="0" w:space="0" w:color="auto"/>
                        <w:right w:val="none" w:sz="0" w:space="0" w:color="auto"/>
                      </w:divBdr>
                      <w:divsChild>
                        <w:div w:id="304437740">
                          <w:marLeft w:val="-225"/>
                          <w:marRight w:val="-225"/>
                          <w:marTop w:val="0"/>
                          <w:marBottom w:val="0"/>
                          <w:divBdr>
                            <w:top w:val="none" w:sz="0" w:space="0" w:color="auto"/>
                            <w:left w:val="none" w:sz="0" w:space="0" w:color="auto"/>
                            <w:bottom w:val="none" w:sz="0" w:space="0" w:color="auto"/>
                            <w:right w:val="none" w:sz="0" w:space="0" w:color="auto"/>
                          </w:divBdr>
                          <w:divsChild>
                            <w:div w:id="2075203960">
                              <w:marLeft w:val="0"/>
                              <w:marRight w:val="0"/>
                              <w:marTop w:val="0"/>
                              <w:marBottom w:val="0"/>
                              <w:divBdr>
                                <w:top w:val="none" w:sz="0" w:space="0" w:color="auto"/>
                                <w:left w:val="none" w:sz="0" w:space="0" w:color="auto"/>
                                <w:bottom w:val="none" w:sz="0" w:space="0" w:color="auto"/>
                                <w:right w:val="none" w:sz="0" w:space="0" w:color="auto"/>
                              </w:divBdr>
                              <w:divsChild>
                                <w:div w:id="1112897401">
                                  <w:marLeft w:val="0"/>
                                  <w:marRight w:val="0"/>
                                  <w:marTop w:val="0"/>
                                  <w:marBottom w:val="0"/>
                                  <w:divBdr>
                                    <w:top w:val="none" w:sz="0" w:space="0" w:color="auto"/>
                                    <w:left w:val="none" w:sz="0" w:space="0" w:color="auto"/>
                                    <w:bottom w:val="none" w:sz="0" w:space="0" w:color="auto"/>
                                    <w:right w:val="none" w:sz="0" w:space="0" w:color="auto"/>
                                  </w:divBdr>
                                  <w:divsChild>
                                    <w:div w:id="34748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9500311">
      <w:bodyDiv w:val="1"/>
      <w:marLeft w:val="0"/>
      <w:marRight w:val="0"/>
      <w:marTop w:val="0"/>
      <w:marBottom w:val="0"/>
      <w:divBdr>
        <w:top w:val="none" w:sz="0" w:space="0" w:color="auto"/>
        <w:left w:val="none" w:sz="0" w:space="0" w:color="auto"/>
        <w:bottom w:val="none" w:sz="0" w:space="0" w:color="auto"/>
        <w:right w:val="none" w:sz="0" w:space="0" w:color="auto"/>
      </w:divBdr>
      <w:divsChild>
        <w:div w:id="282078062">
          <w:marLeft w:val="0"/>
          <w:marRight w:val="0"/>
          <w:marTop w:val="0"/>
          <w:marBottom w:val="0"/>
          <w:divBdr>
            <w:top w:val="none" w:sz="0" w:space="0" w:color="auto"/>
            <w:left w:val="none" w:sz="0" w:space="0" w:color="auto"/>
            <w:bottom w:val="none" w:sz="0" w:space="0" w:color="auto"/>
            <w:right w:val="none" w:sz="0" w:space="0" w:color="auto"/>
          </w:divBdr>
          <w:divsChild>
            <w:div w:id="1599214340">
              <w:marLeft w:val="0"/>
              <w:marRight w:val="0"/>
              <w:marTop w:val="0"/>
              <w:marBottom w:val="0"/>
              <w:divBdr>
                <w:top w:val="none" w:sz="0" w:space="0" w:color="auto"/>
                <w:left w:val="none" w:sz="0" w:space="0" w:color="auto"/>
                <w:bottom w:val="none" w:sz="0" w:space="0" w:color="auto"/>
                <w:right w:val="none" w:sz="0" w:space="0" w:color="auto"/>
              </w:divBdr>
              <w:divsChild>
                <w:div w:id="581260059">
                  <w:marLeft w:val="0"/>
                  <w:marRight w:val="0"/>
                  <w:marTop w:val="0"/>
                  <w:marBottom w:val="0"/>
                  <w:divBdr>
                    <w:top w:val="none" w:sz="0" w:space="0" w:color="auto"/>
                    <w:left w:val="none" w:sz="0" w:space="0" w:color="auto"/>
                    <w:bottom w:val="none" w:sz="0" w:space="0" w:color="auto"/>
                    <w:right w:val="none" w:sz="0" w:space="0" w:color="auto"/>
                  </w:divBdr>
                  <w:divsChild>
                    <w:div w:id="1925918817">
                      <w:marLeft w:val="0"/>
                      <w:marRight w:val="0"/>
                      <w:marTop w:val="0"/>
                      <w:marBottom w:val="300"/>
                      <w:divBdr>
                        <w:top w:val="none" w:sz="0" w:space="0" w:color="auto"/>
                        <w:left w:val="none" w:sz="0" w:space="0" w:color="auto"/>
                        <w:bottom w:val="none" w:sz="0" w:space="0" w:color="auto"/>
                        <w:right w:val="none" w:sz="0" w:space="0" w:color="auto"/>
                      </w:divBdr>
                      <w:divsChild>
                        <w:div w:id="1139179475">
                          <w:marLeft w:val="-225"/>
                          <w:marRight w:val="-225"/>
                          <w:marTop w:val="0"/>
                          <w:marBottom w:val="0"/>
                          <w:divBdr>
                            <w:top w:val="none" w:sz="0" w:space="0" w:color="auto"/>
                            <w:left w:val="none" w:sz="0" w:space="0" w:color="auto"/>
                            <w:bottom w:val="none" w:sz="0" w:space="0" w:color="auto"/>
                            <w:right w:val="none" w:sz="0" w:space="0" w:color="auto"/>
                          </w:divBdr>
                          <w:divsChild>
                            <w:div w:id="1136341638">
                              <w:marLeft w:val="0"/>
                              <w:marRight w:val="0"/>
                              <w:marTop w:val="0"/>
                              <w:marBottom w:val="0"/>
                              <w:divBdr>
                                <w:top w:val="none" w:sz="0" w:space="0" w:color="auto"/>
                                <w:left w:val="none" w:sz="0" w:space="0" w:color="auto"/>
                                <w:bottom w:val="none" w:sz="0" w:space="0" w:color="auto"/>
                                <w:right w:val="none" w:sz="0" w:space="0" w:color="auto"/>
                              </w:divBdr>
                              <w:divsChild>
                                <w:div w:id="2100787384">
                                  <w:marLeft w:val="0"/>
                                  <w:marRight w:val="0"/>
                                  <w:marTop w:val="0"/>
                                  <w:marBottom w:val="0"/>
                                  <w:divBdr>
                                    <w:top w:val="none" w:sz="0" w:space="0" w:color="auto"/>
                                    <w:left w:val="none" w:sz="0" w:space="0" w:color="auto"/>
                                    <w:bottom w:val="none" w:sz="0" w:space="0" w:color="auto"/>
                                    <w:right w:val="none" w:sz="0" w:space="0" w:color="auto"/>
                                  </w:divBdr>
                                  <w:divsChild>
                                    <w:div w:id="121354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7782509">
      <w:bodyDiv w:val="1"/>
      <w:marLeft w:val="0"/>
      <w:marRight w:val="0"/>
      <w:marTop w:val="0"/>
      <w:marBottom w:val="0"/>
      <w:divBdr>
        <w:top w:val="none" w:sz="0" w:space="0" w:color="auto"/>
        <w:left w:val="none" w:sz="0" w:space="0" w:color="auto"/>
        <w:bottom w:val="none" w:sz="0" w:space="0" w:color="auto"/>
        <w:right w:val="none" w:sz="0" w:space="0" w:color="auto"/>
      </w:divBdr>
      <w:divsChild>
        <w:div w:id="1619603551">
          <w:marLeft w:val="0"/>
          <w:marRight w:val="0"/>
          <w:marTop w:val="0"/>
          <w:marBottom w:val="0"/>
          <w:divBdr>
            <w:top w:val="none" w:sz="0" w:space="0" w:color="auto"/>
            <w:left w:val="none" w:sz="0" w:space="0" w:color="auto"/>
            <w:bottom w:val="none" w:sz="0" w:space="0" w:color="auto"/>
            <w:right w:val="none" w:sz="0" w:space="0" w:color="auto"/>
          </w:divBdr>
          <w:divsChild>
            <w:div w:id="133062011">
              <w:marLeft w:val="0"/>
              <w:marRight w:val="0"/>
              <w:marTop w:val="0"/>
              <w:marBottom w:val="0"/>
              <w:divBdr>
                <w:top w:val="none" w:sz="0" w:space="0" w:color="auto"/>
                <w:left w:val="none" w:sz="0" w:space="0" w:color="auto"/>
                <w:bottom w:val="none" w:sz="0" w:space="0" w:color="auto"/>
                <w:right w:val="none" w:sz="0" w:space="0" w:color="auto"/>
              </w:divBdr>
              <w:divsChild>
                <w:div w:id="11301262">
                  <w:marLeft w:val="0"/>
                  <w:marRight w:val="0"/>
                  <w:marTop w:val="0"/>
                  <w:marBottom w:val="0"/>
                  <w:divBdr>
                    <w:top w:val="none" w:sz="0" w:space="0" w:color="auto"/>
                    <w:left w:val="none" w:sz="0" w:space="0" w:color="auto"/>
                    <w:bottom w:val="none" w:sz="0" w:space="0" w:color="auto"/>
                    <w:right w:val="none" w:sz="0" w:space="0" w:color="auto"/>
                  </w:divBdr>
                  <w:divsChild>
                    <w:div w:id="344018686">
                      <w:marLeft w:val="0"/>
                      <w:marRight w:val="0"/>
                      <w:marTop w:val="0"/>
                      <w:marBottom w:val="300"/>
                      <w:divBdr>
                        <w:top w:val="none" w:sz="0" w:space="0" w:color="auto"/>
                        <w:left w:val="none" w:sz="0" w:space="0" w:color="auto"/>
                        <w:bottom w:val="none" w:sz="0" w:space="0" w:color="auto"/>
                        <w:right w:val="none" w:sz="0" w:space="0" w:color="auto"/>
                      </w:divBdr>
                      <w:divsChild>
                        <w:div w:id="523593375">
                          <w:marLeft w:val="-225"/>
                          <w:marRight w:val="-225"/>
                          <w:marTop w:val="0"/>
                          <w:marBottom w:val="0"/>
                          <w:divBdr>
                            <w:top w:val="none" w:sz="0" w:space="0" w:color="auto"/>
                            <w:left w:val="none" w:sz="0" w:space="0" w:color="auto"/>
                            <w:bottom w:val="none" w:sz="0" w:space="0" w:color="auto"/>
                            <w:right w:val="none" w:sz="0" w:space="0" w:color="auto"/>
                          </w:divBdr>
                          <w:divsChild>
                            <w:div w:id="2087720535">
                              <w:marLeft w:val="0"/>
                              <w:marRight w:val="0"/>
                              <w:marTop w:val="0"/>
                              <w:marBottom w:val="0"/>
                              <w:divBdr>
                                <w:top w:val="none" w:sz="0" w:space="0" w:color="auto"/>
                                <w:left w:val="none" w:sz="0" w:space="0" w:color="auto"/>
                                <w:bottom w:val="none" w:sz="0" w:space="0" w:color="auto"/>
                                <w:right w:val="none" w:sz="0" w:space="0" w:color="auto"/>
                              </w:divBdr>
                              <w:divsChild>
                                <w:div w:id="1564216991">
                                  <w:marLeft w:val="0"/>
                                  <w:marRight w:val="0"/>
                                  <w:marTop w:val="0"/>
                                  <w:marBottom w:val="0"/>
                                  <w:divBdr>
                                    <w:top w:val="none" w:sz="0" w:space="0" w:color="auto"/>
                                    <w:left w:val="none" w:sz="0" w:space="0" w:color="auto"/>
                                    <w:bottom w:val="none" w:sz="0" w:space="0" w:color="auto"/>
                                    <w:right w:val="none" w:sz="0" w:space="0" w:color="auto"/>
                                  </w:divBdr>
                                  <w:divsChild>
                                    <w:div w:id="6024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378565">
      <w:bodyDiv w:val="1"/>
      <w:marLeft w:val="0"/>
      <w:marRight w:val="0"/>
      <w:marTop w:val="0"/>
      <w:marBottom w:val="0"/>
      <w:divBdr>
        <w:top w:val="none" w:sz="0" w:space="0" w:color="auto"/>
        <w:left w:val="none" w:sz="0" w:space="0" w:color="auto"/>
        <w:bottom w:val="none" w:sz="0" w:space="0" w:color="auto"/>
        <w:right w:val="none" w:sz="0" w:space="0" w:color="auto"/>
      </w:divBdr>
      <w:divsChild>
        <w:div w:id="913513456">
          <w:marLeft w:val="0"/>
          <w:marRight w:val="0"/>
          <w:marTop w:val="0"/>
          <w:marBottom w:val="0"/>
          <w:divBdr>
            <w:top w:val="none" w:sz="0" w:space="0" w:color="auto"/>
            <w:left w:val="none" w:sz="0" w:space="0" w:color="auto"/>
            <w:bottom w:val="none" w:sz="0" w:space="0" w:color="auto"/>
            <w:right w:val="none" w:sz="0" w:space="0" w:color="auto"/>
          </w:divBdr>
          <w:divsChild>
            <w:div w:id="56436680">
              <w:marLeft w:val="0"/>
              <w:marRight w:val="0"/>
              <w:marTop w:val="0"/>
              <w:marBottom w:val="0"/>
              <w:divBdr>
                <w:top w:val="none" w:sz="0" w:space="0" w:color="auto"/>
                <w:left w:val="none" w:sz="0" w:space="0" w:color="auto"/>
                <w:bottom w:val="none" w:sz="0" w:space="0" w:color="auto"/>
                <w:right w:val="none" w:sz="0" w:space="0" w:color="auto"/>
              </w:divBdr>
              <w:divsChild>
                <w:div w:id="1208642698">
                  <w:marLeft w:val="0"/>
                  <w:marRight w:val="0"/>
                  <w:marTop w:val="0"/>
                  <w:marBottom w:val="0"/>
                  <w:divBdr>
                    <w:top w:val="none" w:sz="0" w:space="0" w:color="auto"/>
                    <w:left w:val="none" w:sz="0" w:space="0" w:color="auto"/>
                    <w:bottom w:val="none" w:sz="0" w:space="0" w:color="auto"/>
                    <w:right w:val="none" w:sz="0" w:space="0" w:color="auto"/>
                  </w:divBdr>
                  <w:divsChild>
                    <w:div w:id="1158613488">
                      <w:marLeft w:val="0"/>
                      <w:marRight w:val="0"/>
                      <w:marTop w:val="0"/>
                      <w:marBottom w:val="300"/>
                      <w:divBdr>
                        <w:top w:val="none" w:sz="0" w:space="0" w:color="auto"/>
                        <w:left w:val="none" w:sz="0" w:space="0" w:color="auto"/>
                        <w:bottom w:val="none" w:sz="0" w:space="0" w:color="auto"/>
                        <w:right w:val="none" w:sz="0" w:space="0" w:color="auto"/>
                      </w:divBdr>
                      <w:divsChild>
                        <w:div w:id="1602644164">
                          <w:marLeft w:val="-225"/>
                          <w:marRight w:val="-225"/>
                          <w:marTop w:val="0"/>
                          <w:marBottom w:val="0"/>
                          <w:divBdr>
                            <w:top w:val="none" w:sz="0" w:space="0" w:color="auto"/>
                            <w:left w:val="none" w:sz="0" w:space="0" w:color="auto"/>
                            <w:bottom w:val="none" w:sz="0" w:space="0" w:color="auto"/>
                            <w:right w:val="none" w:sz="0" w:space="0" w:color="auto"/>
                          </w:divBdr>
                          <w:divsChild>
                            <w:div w:id="1985575453">
                              <w:marLeft w:val="0"/>
                              <w:marRight w:val="0"/>
                              <w:marTop w:val="0"/>
                              <w:marBottom w:val="0"/>
                              <w:divBdr>
                                <w:top w:val="none" w:sz="0" w:space="0" w:color="auto"/>
                                <w:left w:val="none" w:sz="0" w:space="0" w:color="auto"/>
                                <w:bottom w:val="none" w:sz="0" w:space="0" w:color="auto"/>
                                <w:right w:val="none" w:sz="0" w:space="0" w:color="auto"/>
                              </w:divBdr>
                              <w:divsChild>
                                <w:div w:id="1854757053">
                                  <w:marLeft w:val="0"/>
                                  <w:marRight w:val="0"/>
                                  <w:marTop w:val="0"/>
                                  <w:marBottom w:val="0"/>
                                  <w:divBdr>
                                    <w:top w:val="none" w:sz="0" w:space="0" w:color="auto"/>
                                    <w:left w:val="none" w:sz="0" w:space="0" w:color="auto"/>
                                    <w:bottom w:val="none" w:sz="0" w:space="0" w:color="auto"/>
                                    <w:right w:val="none" w:sz="0" w:space="0" w:color="auto"/>
                                  </w:divBdr>
                                  <w:divsChild>
                                    <w:div w:id="44138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5074050">
      <w:bodyDiv w:val="1"/>
      <w:marLeft w:val="0"/>
      <w:marRight w:val="0"/>
      <w:marTop w:val="0"/>
      <w:marBottom w:val="0"/>
      <w:divBdr>
        <w:top w:val="none" w:sz="0" w:space="0" w:color="auto"/>
        <w:left w:val="none" w:sz="0" w:space="0" w:color="auto"/>
        <w:bottom w:val="none" w:sz="0" w:space="0" w:color="auto"/>
        <w:right w:val="none" w:sz="0" w:space="0" w:color="auto"/>
      </w:divBdr>
      <w:divsChild>
        <w:div w:id="1258518805">
          <w:marLeft w:val="0"/>
          <w:marRight w:val="0"/>
          <w:marTop w:val="0"/>
          <w:marBottom w:val="0"/>
          <w:divBdr>
            <w:top w:val="none" w:sz="0" w:space="0" w:color="auto"/>
            <w:left w:val="none" w:sz="0" w:space="0" w:color="auto"/>
            <w:bottom w:val="none" w:sz="0" w:space="0" w:color="auto"/>
            <w:right w:val="none" w:sz="0" w:space="0" w:color="auto"/>
          </w:divBdr>
          <w:divsChild>
            <w:div w:id="56125269">
              <w:marLeft w:val="0"/>
              <w:marRight w:val="0"/>
              <w:marTop w:val="0"/>
              <w:marBottom w:val="0"/>
              <w:divBdr>
                <w:top w:val="none" w:sz="0" w:space="0" w:color="auto"/>
                <w:left w:val="none" w:sz="0" w:space="0" w:color="auto"/>
                <w:bottom w:val="none" w:sz="0" w:space="0" w:color="auto"/>
                <w:right w:val="none" w:sz="0" w:space="0" w:color="auto"/>
              </w:divBdr>
              <w:divsChild>
                <w:div w:id="418983402">
                  <w:marLeft w:val="0"/>
                  <w:marRight w:val="0"/>
                  <w:marTop w:val="0"/>
                  <w:marBottom w:val="0"/>
                  <w:divBdr>
                    <w:top w:val="none" w:sz="0" w:space="0" w:color="auto"/>
                    <w:left w:val="none" w:sz="0" w:space="0" w:color="auto"/>
                    <w:bottom w:val="none" w:sz="0" w:space="0" w:color="auto"/>
                    <w:right w:val="none" w:sz="0" w:space="0" w:color="auto"/>
                  </w:divBdr>
                  <w:divsChild>
                    <w:div w:id="988904367">
                      <w:marLeft w:val="0"/>
                      <w:marRight w:val="0"/>
                      <w:marTop w:val="0"/>
                      <w:marBottom w:val="300"/>
                      <w:divBdr>
                        <w:top w:val="none" w:sz="0" w:space="0" w:color="auto"/>
                        <w:left w:val="none" w:sz="0" w:space="0" w:color="auto"/>
                        <w:bottom w:val="none" w:sz="0" w:space="0" w:color="auto"/>
                        <w:right w:val="none" w:sz="0" w:space="0" w:color="auto"/>
                      </w:divBdr>
                      <w:divsChild>
                        <w:div w:id="520974175">
                          <w:marLeft w:val="-225"/>
                          <w:marRight w:val="-225"/>
                          <w:marTop w:val="0"/>
                          <w:marBottom w:val="0"/>
                          <w:divBdr>
                            <w:top w:val="none" w:sz="0" w:space="0" w:color="auto"/>
                            <w:left w:val="none" w:sz="0" w:space="0" w:color="auto"/>
                            <w:bottom w:val="none" w:sz="0" w:space="0" w:color="auto"/>
                            <w:right w:val="none" w:sz="0" w:space="0" w:color="auto"/>
                          </w:divBdr>
                          <w:divsChild>
                            <w:div w:id="1483499618">
                              <w:marLeft w:val="0"/>
                              <w:marRight w:val="0"/>
                              <w:marTop w:val="0"/>
                              <w:marBottom w:val="0"/>
                              <w:divBdr>
                                <w:top w:val="none" w:sz="0" w:space="0" w:color="auto"/>
                                <w:left w:val="none" w:sz="0" w:space="0" w:color="auto"/>
                                <w:bottom w:val="none" w:sz="0" w:space="0" w:color="auto"/>
                                <w:right w:val="none" w:sz="0" w:space="0" w:color="auto"/>
                              </w:divBdr>
                              <w:divsChild>
                                <w:div w:id="1991791671">
                                  <w:marLeft w:val="0"/>
                                  <w:marRight w:val="0"/>
                                  <w:marTop w:val="0"/>
                                  <w:marBottom w:val="0"/>
                                  <w:divBdr>
                                    <w:top w:val="none" w:sz="0" w:space="0" w:color="auto"/>
                                    <w:left w:val="none" w:sz="0" w:space="0" w:color="auto"/>
                                    <w:bottom w:val="none" w:sz="0" w:space="0" w:color="auto"/>
                                    <w:right w:val="none" w:sz="0" w:space="0" w:color="auto"/>
                                  </w:divBdr>
                                  <w:divsChild>
                                    <w:div w:id="2467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8004964">
      <w:bodyDiv w:val="1"/>
      <w:marLeft w:val="0"/>
      <w:marRight w:val="0"/>
      <w:marTop w:val="0"/>
      <w:marBottom w:val="0"/>
      <w:divBdr>
        <w:top w:val="none" w:sz="0" w:space="0" w:color="auto"/>
        <w:left w:val="none" w:sz="0" w:space="0" w:color="auto"/>
        <w:bottom w:val="none" w:sz="0" w:space="0" w:color="auto"/>
        <w:right w:val="none" w:sz="0" w:space="0" w:color="auto"/>
      </w:divBdr>
      <w:divsChild>
        <w:div w:id="1772240172">
          <w:marLeft w:val="0"/>
          <w:marRight w:val="0"/>
          <w:marTop w:val="0"/>
          <w:marBottom w:val="0"/>
          <w:divBdr>
            <w:top w:val="none" w:sz="0" w:space="0" w:color="auto"/>
            <w:left w:val="none" w:sz="0" w:space="0" w:color="auto"/>
            <w:bottom w:val="none" w:sz="0" w:space="0" w:color="auto"/>
            <w:right w:val="none" w:sz="0" w:space="0" w:color="auto"/>
          </w:divBdr>
          <w:divsChild>
            <w:div w:id="1029603313">
              <w:marLeft w:val="0"/>
              <w:marRight w:val="0"/>
              <w:marTop w:val="0"/>
              <w:marBottom w:val="0"/>
              <w:divBdr>
                <w:top w:val="none" w:sz="0" w:space="0" w:color="auto"/>
                <w:left w:val="none" w:sz="0" w:space="0" w:color="auto"/>
                <w:bottom w:val="none" w:sz="0" w:space="0" w:color="auto"/>
                <w:right w:val="none" w:sz="0" w:space="0" w:color="auto"/>
              </w:divBdr>
              <w:divsChild>
                <w:div w:id="517083489">
                  <w:marLeft w:val="0"/>
                  <w:marRight w:val="0"/>
                  <w:marTop w:val="0"/>
                  <w:marBottom w:val="0"/>
                  <w:divBdr>
                    <w:top w:val="none" w:sz="0" w:space="0" w:color="auto"/>
                    <w:left w:val="none" w:sz="0" w:space="0" w:color="auto"/>
                    <w:bottom w:val="none" w:sz="0" w:space="0" w:color="auto"/>
                    <w:right w:val="none" w:sz="0" w:space="0" w:color="auto"/>
                  </w:divBdr>
                  <w:divsChild>
                    <w:div w:id="396441371">
                      <w:marLeft w:val="0"/>
                      <w:marRight w:val="0"/>
                      <w:marTop w:val="0"/>
                      <w:marBottom w:val="300"/>
                      <w:divBdr>
                        <w:top w:val="none" w:sz="0" w:space="0" w:color="auto"/>
                        <w:left w:val="none" w:sz="0" w:space="0" w:color="auto"/>
                        <w:bottom w:val="none" w:sz="0" w:space="0" w:color="auto"/>
                        <w:right w:val="none" w:sz="0" w:space="0" w:color="auto"/>
                      </w:divBdr>
                      <w:divsChild>
                        <w:div w:id="118914244">
                          <w:marLeft w:val="-225"/>
                          <w:marRight w:val="-225"/>
                          <w:marTop w:val="0"/>
                          <w:marBottom w:val="0"/>
                          <w:divBdr>
                            <w:top w:val="none" w:sz="0" w:space="0" w:color="auto"/>
                            <w:left w:val="none" w:sz="0" w:space="0" w:color="auto"/>
                            <w:bottom w:val="none" w:sz="0" w:space="0" w:color="auto"/>
                            <w:right w:val="none" w:sz="0" w:space="0" w:color="auto"/>
                          </w:divBdr>
                          <w:divsChild>
                            <w:div w:id="865484751">
                              <w:marLeft w:val="0"/>
                              <w:marRight w:val="0"/>
                              <w:marTop w:val="0"/>
                              <w:marBottom w:val="0"/>
                              <w:divBdr>
                                <w:top w:val="none" w:sz="0" w:space="0" w:color="auto"/>
                                <w:left w:val="none" w:sz="0" w:space="0" w:color="auto"/>
                                <w:bottom w:val="none" w:sz="0" w:space="0" w:color="auto"/>
                                <w:right w:val="none" w:sz="0" w:space="0" w:color="auto"/>
                              </w:divBdr>
                              <w:divsChild>
                                <w:div w:id="1902062416">
                                  <w:marLeft w:val="0"/>
                                  <w:marRight w:val="0"/>
                                  <w:marTop w:val="0"/>
                                  <w:marBottom w:val="0"/>
                                  <w:divBdr>
                                    <w:top w:val="none" w:sz="0" w:space="0" w:color="auto"/>
                                    <w:left w:val="none" w:sz="0" w:space="0" w:color="auto"/>
                                    <w:bottom w:val="none" w:sz="0" w:space="0" w:color="auto"/>
                                    <w:right w:val="none" w:sz="0" w:space="0" w:color="auto"/>
                                  </w:divBdr>
                                  <w:divsChild>
                                    <w:div w:id="67981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718</TotalTime>
  <Pages>2</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3062996</dc:creator>
  <cp:keywords/>
  <dc:description/>
  <cp:lastModifiedBy>3062996</cp:lastModifiedBy>
  <cp:revision>105</cp:revision>
  <dcterms:created xsi:type="dcterms:W3CDTF">2019-05-28T07:50:00Z</dcterms:created>
  <dcterms:modified xsi:type="dcterms:W3CDTF">2020-05-21T02:47:00Z</dcterms:modified>
</cp:coreProperties>
</file>