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BC5843">
              <w:rPr>
                <w:b/>
                <w:color w:val="FF0000"/>
                <w:sz w:val="24"/>
                <w:szCs w:val="24"/>
              </w:rPr>
              <w:t>9322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BC584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GEM/2021/B/1350228  Dt: 12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BC58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BC5843">
              <w:rPr>
                <w:b/>
                <w:color w:val="C00000"/>
                <w:sz w:val="32"/>
                <w:szCs w:val="24"/>
              </w:rPr>
              <w:t>12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BC5843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BC5843">
              <w:rPr>
                <w:b/>
                <w:color w:val="C00000"/>
                <w:sz w:val="32"/>
                <w:szCs w:val="24"/>
              </w:rPr>
              <w:t>22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741F81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9F62E9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9F62E9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9F62E9">
              <w:rPr>
                <w:b/>
                <w:color w:val="FF0000"/>
                <w:sz w:val="28"/>
                <w:szCs w:val="22"/>
              </w:rPr>
              <w:t>05.08</w:t>
            </w:r>
            <w:bookmarkStart w:id="0" w:name="_GoBack"/>
            <w:bookmarkEnd w:id="0"/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BC5843">
              <w:rPr>
                <w:b/>
                <w:color w:val="FF0000"/>
                <w:sz w:val="24"/>
                <w:szCs w:val="24"/>
              </w:rPr>
              <w:t>59322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1350228  Dt</w:t>
            </w:r>
            <w:proofErr w:type="gramEnd"/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12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GEM/2021/B/1350228  Dt: 12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FB" w:rsidRDefault="004B2FFB">
      <w:r>
        <w:separator/>
      </w:r>
    </w:p>
  </w:endnote>
  <w:endnote w:type="continuationSeparator" w:id="0">
    <w:p w:rsidR="004B2FFB" w:rsidRDefault="004B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FB" w:rsidRDefault="004B2FFB">
      <w:r>
        <w:separator/>
      </w:r>
    </w:p>
  </w:footnote>
  <w:footnote w:type="continuationSeparator" w:id="0">
    <w:p w:rsidR="004B2FFB" w:rsidRDefault="004B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2FFB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2E9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15FF6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20</cp:revision>
  <cp:lastPrinted>2020-12-11T07:23:00Z</cp:lastPrinted>
  <dcterms:created xsi:type="dcterms:W3CDTF">2020-12-19T10:24:00Z</dcterms:created>
  <dcterms:modified xsi:type="dcterms:W3CDTF">2021-07-29T04:58:00Z</dcterms:modified>
</cp:coreProperties>
</file>