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BHARAT HEAVY ELECTRICALS LTD., BHOPAL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CMM-STEEL DIVISION ADM BUILDING, 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 w:eastAsia="en-IN"/>
        </w:rPr>
        <w:t>ND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 xml:space="preserve"> FLOOR,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PIPLANI, BHOPAL – 462 022 M.P. (India)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PHONE NO.: +91 755 2505805 / 2505421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PRESS TENDER NOTICE NO.: CMM/Steel/21 – 22/E1413084/GEM/2022/B/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1976533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Cs w:val="22"/>
          <w:lang w:val="en-US" w:eastAsia="en-IN"/>
        </w:rPr>
      </w:pPr>
      <w:r>
        <w:rPr>
          <w:rFonts w:ascii="Arial" w:eastAsia="Times New Roman" w:hAnsi="Arial" w:cs="Arial"/>
          <w:szCs w:val="22"/>
          <w:lang w:val="en-US" w:eastAsia="en-IN"/>
        </w:rPr>
        <w:t xml:space="preserve">Online bids in </w:t>
      </w:r>
      <w:r>
        <w:rPr>
          <w:rFonts w:ascii="Arial" w:eastAsia="Times New Roman" w:hAnsi="Arial" w:cs="Arial"/>
          <w:b/>
          <w:bCs/>
          <w:szCs w:val="22"/>
          <w:lang w:val="en-US" w:eastAsia="en-IN"/>
        </w:rPr>
        <w:t>Two Part Bid System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on </w:t>
      </w:r>
      <w:proofErr w:type="spellStart"/>
      <w:r>
        <w:rPr>
          <w:rFonts w:ascii="Arial" w:eastAsia="Times New Roman" w:hAnsi="Arial" w:cs="Arial"/>
          <w:b/>
          <w:bCs/>
          <w:szCs w:val="22"/>
          <w:lang w:val="en-US" w:eastAsia="en-IN"/>
        </w:rPr>
        <w:t>GeM</w:t>
      </w:r>
      <w:proofErr w:type="spellEnd"/>
      <w:r>
        <w:rPr>
          <w:rFonts w:ascii="Arial" w:eastAsia="Times New Roman" w:hAnsi="Arial" w:cs="Arial"/>
          <w:b/>
          <w:bCs/>
          <w:szCs w:val="22"/>
          <w:lang w:val="en-US" w:eastAsia="en-IN"/>
        </w:rPr>
        <w:t xml:space="preserve"> portal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are invited for Supply of the following item: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51"/>
        <w:gridCol w:w="4536"/>
        <w:gridCol w:w="1417"/>
        <w:gridCol w:w="851"/>
        <w:gridCol w:w="1221"/>
      </w:tblGrid>
      <w:tr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S.N.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 xml:space="preserve">Enquiry no.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Qty. (in Kilograms -kg)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Tender Fee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(In Rs.)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Due date</w:t>
            </w:r>
          </w:p>
        </w:tc>
      </w:tr>
      <w:tr>
        <w:trPr>
          <w:trHeight w:val="19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  <w:t>GEM/2022/B/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  <w:t>1976533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TableParagraph"/>
              <w:ind w:left="103" w:right="107" w:hanging="2"/>
              <w:jc w:val="both"/>
              <w:rPr>
                <w:rFonts w:eastAsia="Times New Roman"/>
                <w:sz w:val="20"/>
                <w:lang w:eastAsia="en-IN"/>
              </w:rPr>
            </w:pPr>
            <w:r>
              <w:rPr>
                <w:rFonts w:eastAsia="Times New Roman"/>
                <w:sz w:val="20"/>
                <w:lang w:eastAsia="en-IN"/>
              </w:rPr>
              <w:t xml:space="preserve">40 mm </w:t>
            </w:r>
            <w:proofErr w:type="spellStart"/>
            <w:r>
              <w:rPr>
                <w:rFonts w:eastAsia="Times New Roman"/>
                <w:sz w:val="20"/>
                <w:lang w:eastAsia="en-IN"/>
              </w:rPr>
              <w:t>dia</w:t>
            </w:r>
            <w:proofErr w:type="spellEnd"/>
            <w:r>
              <w:rPr>
                <w:rFonts w:eastAsia="Times New Roman"/>
                <w:sz w:val="20"/>
                <w:lang w:eastAsia="en-IN"/>
              </w:rPr>
              <w:t xml:space="preserve"> X 3000 mm – 6000 mm LG, </w:t>
            </w:r>
            <w:r>
              <w:rPr>
                <w:sz w:val="20"/>
                <w:szCs w:val="20"/>
              </w:rPr>
              <w:t>Structural steel round bar to material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specification AA10108 rev.11 (IS: 2062 - 2011, Gr: E250, Quality A) and as per QA plan QA/HT/1039. straightness within 5 mm per meter. other technical details strictly as per our material specification AA10108 rev.11. Material test certificates covering all the mechanical and chemical properties strictly as per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specification shall be furnished along with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50600 kg</w:t>
            </w:r>
          </w:p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(Supplies quantity are to be restricted between 5060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 kg &amp; 41400 kg</w:t>
            </w:r>
            <w:r>
              <w:rPr>
                <w:color w:val="000000" w:themeColor="text1"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1600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IST on 18.03.2022</w:t>
            </w:r>
          </w:p>
        </w:tc>
      </w:tr>
    </w:tbl>
    <w:p>
      <w:pPr>
        <w:spacing w:after="0" w:line="240" w:lineRule="auto"/>
        <w:jc w:val="both"/>
        <w:rPr>
          <w:rFonts w:ascii="Arial" w:eastAsia="Times New Roman" w:hAnsi="Arial" w:cs="Arial"/>
          <w:sz w:val="20"/>
          <w:lang w:val="en-US" w:eastAsia="en-IN"/>
        </w:rPr>
      </w:pPr>
      <w:r>
        <w:rPr>
          <w:rFonts w:ascii="Arial" w:eastAsia="Times New Roman" w:hAnsi="Arial" w:cs="Arial"/>
          <w:sz w:val="20"/>
          <w:lang w:val="en-US" w:eastAsia="en-IN"/>
        </w:rPr>
        <w:t xml:space="preserve">Complete tender document can be downloaded from BHEL e-tendering website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sz w:val="20"/>
          <w:lang w:val="en-US" w:eastAsia="en-IN"/>
        </w:rPr>
        <w:t xml:space="preserve"> and the tender to be submitted online and not later than 1600 </w:t>
      </w:r>
      <w:proofErr w:type="spellStart"/>
      <w:r>
        <w:rPr>
          <w:rFonts w:ascii="Arial" w:eastAsia="Times New Roman" w:hAnsi="Arial" w:cs="Arial"/>
          <w:sz w:val="20"/>
          <w:lang w:val="en-US" w:eastAsia="en-IN"/>
        </w:rPr>
        <w:t>hrs</w:t>
      </w:r>
      <w:proofErr w:type="spellEnd"/>
      <w:r>
        <w:rPr>
          <w:rFonts w:ascii="Arial" w:eastAsia="Times New Roman" w:hAnsi="Arial" w:cs="Arial"/>
          <w:sz w:val="20"/>
          <w:lang w:val="en-US" w:eastAsia="en-IN"/>
        </w:rPr>
        <w:t xml:space="preserve"> IST on the due date mentioned above. Late tenders will not be considered.</w:t>
      </w:r>
    </w:p>
    <w:p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Tenders may not be considered if:</w:t>
      </w:r>
    </w:p>
    <w:p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Tender not submitted in two bid i.e., technical and price bid separately.</w:t>
      </w:r>
    </w:p>
    <w:p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Tender not submitted through </w:t>
      </w: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https://mkp.gem.gov.in/market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 w:eastAsia="en-IN"/>
        </w:rPr>
        <w:t xml:space="preserve">Note: </w:t>
      </w:r>
      <w:r>
        <w:rPr>
          <w:rFonts w:ascii="Arial" w:hAnsi="Arial" w:cs="Arial"/>
          <w:sz w:val="20"/>
          <w:lang w:val="en-US"/>
        </w:rPr>
        <w:t xml:space="preserve">All tender documents can be downloaded from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GeM</w:t>
      </w:r>
      <w:proofErr w:type="spellEnd"/>
      <w:r>
        <w:rPr>
          <w:rFonts w:ascii="Arial" w:hAnsi="Arial" w:cs="Arial"/>
          <w:sz w:val="20"/>
          <w:lang w:val="en-US"/>
        </w:rPr>
        <w:t xml:space="preserve"> portal of BHEL as per above mentioned hyperlink.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evaluation, exchange rate (TT selling rate of SBI) as on scheduled date of tender opening (technical bid in case of two part bid) shall be considered.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Paper bid will not be accepted in E-Tender.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All documents uploaded on e-portal along with the offer should be signed &amp; sealed.</w:t>
      </w:r>
    </w:p>
    <w:p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Note: Tender should be submitted online on BHEL e-Tendering website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 only. Late tenders will not be considered. 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>
          <w:rPr>
            <w:rStyle w:val="Hyperlink"/>
            <w:rFonts w:ascii="Arial" w:eastAsia="Times New Roman" w:hAnsi="Arial" w:cs="Arial"/>
            <w:b/>
            <w:bCs/>
            <w:sz w:val="20"/>
            <w:lang w:val="en-US" w:eastAsia="en-IN"/>
          </w:rPr>
          <w:t>www.bhelbpl.co.in</w:t>
        </w:r>
      </w:hyperlink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 and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sz w:val="20"/>
            <w:lang w:val="en-US" w:eastAsia="en-IN"/>
          </w:rPr>
          <w:t>www.bhel.com</w:t>
        </w:r>
      </w:hyperlink>
      <w:r>
        <w:rPr>
          <w:rFonts w:ascii="Arial" w:eastAsia="Times New Roman" w:hAnsi="Arial" w:cs="Arial"/>
          <w:b/>
          <w:bCs/>
          <w:sz w:val="20"/>
          <w:lang w:val="en-US" w:eastAsia="en-IN"/>
        </w:rPr>
        <w:t>) only. Bidders should regularly visit web sites to keep themselves updated.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</w:p>
    <w:p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Manager (CMM – Steel)</w:t>
      </w:r>
    </w:p>
    <w:sectPr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1296841@bhelbpl.co.in</cp:lastModifiedBy>
  <cp:revision>13</cp:revision>
  <cp:lastPrinted>2021-09-11T02:34:00Z</cp:lastPrinted>
  <dcterms:created xsi:type="dcterms:W3CDTF">2021-09-22T03:30:00Z</dcterms:created>
  <dcterms:modified xsi:type="dcterms:W3CDTF">2022-02-25T09:04:00Z</dcterms:modified>
</cp:coreProperties>
</file>