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</w:t>
      </w:r>
      <w:r w:rsidR="00FE5061">
        <w:rPr>
          <w:rFonts w:eastAsia="Times New Roman" w:cstheme="minorHAnsi"/>
          <w:b/>
          <w:bCs/>
          <w:sz w:val="24"/>
          <w:szCs w:val="24"/>
          <w:lang w:val="en-GB" w:eastAsia="en-IN"/>
        </w:rPr>
        <w:t xml:space="preserve"> (RATE CONTRACT) </w:t>
      </w: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567"/>
        <w:gridCol w:w="3969"/>
        <w:gridCol w:w="1134"/>
        <w:gridCol w:w="1129"/>
        <w:gridCol w:w="997"/>
      </w:tblGrid>
      <w:tr w:rsidR="00E3069D" w:rsidTr="00206CC6">
        <w:trPr>
          <w:trHeight w:val="68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69D" w:rsidRDefault="003907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B954F3" w:rsidTr="00206CC6">
        <w:trPr>
          <w:trHeight w:val="485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B95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bookmarkStart w:id="0" w:name="_GoBack" w:colFirst="3" w:colLast="3"/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EA2B35" w:rsidP="00B144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E4653139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B95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Pr="00EA2B35" w:rsidRDefault="00EA2B35" w:rsidP="00EA2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 w:rsidRPr="00EA2B35">
              <w:rPr>
                <w:rFonts w:cstheme="minorHAnsi"/>
                <w:sz w:val="20"/>
              </w:rPr>
              <w:t>CURRENT TRANSFORMER RATING 500 / 0.5, BURDEN 100 OHM,</w:t>
            </w:r>
            <w:r w:rsidRPr="00EA2B35">
              <w:rPr>
                <w:rFonts w:cstheme="minorHAnsi"/>
                <w:sz w:val="20"/>
              </w:rPr>
              <w:t xml:space="preserve"> </w:t>
            </w:r>
            <w:r w:rsidRPr="00EA2B35">
              <w:rPr>
                <w:rFonts w:cstheme="minorHAnsi"/>
                <w:sz w:val="20"/>
              </w:rPr>
              <w:t>FREQUENCY 25-75 HZ, RESISTANCE 11.8 OHM+/- 10 %,1000 V, ACCURACY</w:t>
            </w:r>
            <w:r w:rsidRPr="00EA2B35">
              <w:rPr>
                <w:rFonts w:cstheme="minorHAnsi"/>
                <w:sz w:val="20"/>
              </w:rPr>
              <w:t xml:space="preserve"> </w:t>
            </w:r>
            <w:r w:rsidRPr="00EA2B35">
              <w:rPr>
                <w:rFonts w:cstheme="minorHAnsi"/>
                <w:sz w:val="20"/>
              </w:rPr>
              <w:t>CLASS 1 AS PER DRAWING 36670500241, REV 03.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B954F3" w:rsidP="00EA2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eastAsia="en-IN"/>
              </w:rPr>
              <w:t>1</w:t>
            </w:r>
            <w:r w:rsidR="00EA2B35">
              <w:rPr>
                <w:rFonts w:eastAsia="Times New Roman" w:cstheme="minorHAnsi"/>
                <w:b/>
                <w:bCs/>
                <w:sz w:val="20"/>
                <w:lang w:eastAsia="en-IN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lang w:eastAsia="en-IN"/>
              </w:rPr>
              <w:t>00 Nos.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B95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4F3" w:rsidRDefault="00EA2B35" w:rsidP="00EA2B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08</w:t>
            </w:r>
            <w:r w:rsidR="00B954F3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11</w:t>
            </w:r>
            <w:r w:rsidR="00B954F3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/25</w:t>
            </w:r>
          </w:p>
        </w:tc>
      </w:tr>
      <w:bookmarkEnd w:id="0"/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B144BB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0 </w:t>
      </w:r>
      <w:r w:rsidR="00C20C23">
        <w:rPr>
          <w:rFonts w:cstheme="minorHAnsi"/>
          <w:b/>
          <w:bCs/>
          <w:szCs w:val="22"/>
          <w:lang w:val="en-GB"/>
        </w:rPr>
        <w:t>A</w:t>
      </w:r>
      <w:r>
        <w:rPr>
          <w:rFonts w:cstheme="minorHAnsi"/>
          <w:b/>
          <w:bCs/>
          <w:szCs w:val="22"/>
          <w:lang w:val="en-GB"/>
        </w:rPr>
        <w:t>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C20C23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9D"/>
    <w:rsid w:val="00000606"/>
    <w:rsid w:val="00157E45"/>
    <w:rsid w:val="001D2E24"/>
    <w:rsid w:val="00206CC6"/>
    <w:rsid w:val="003907A0"/>
    <w:rsid w:val="003E0A14"/>
    <w:rsid w:val="0050009C"/>
    <w:rsid w:val="00502EB9"/>
    <w:rsid w:val="00591A19"/>
    <w:rsid w:val="005F71A5"/>
    <w:rsid w:val="0068106E"/>
    <w:rsid w:val="009F4841"/>
    <w:rsid w:val="00AB4BC4"/>
    <w:rsid w:val="00AD2BE5"/>
    <w:rsid w:val="00B144BB"/>
    <w:rsid w:val="00B954F3"/>
    <w:rsid w:val="00C20C23"/>
    <w:rsid w:val="00DD2615"/>
    <w:rsid w:val="00E3069D"/>
    <w:rsid w:val="00EA2B35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B0D5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76D9-8D7B-4CC1-B586-C13C0765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Gajendra Upadhyay</cp:lastModifiedBy>
  <cp:revision>44</cp:revision>
  <cp:lastPrinted>2021-01-12T09:13:00Z</cp:lastPrinted>
  <dcterms:created xsi:type="dcterms:W3CDTF">2022-07-06T05:05:00Z</dcterms:created>
  <dcterms:modified xsi:type="dcterms:W3CDTF">2025-10-30T11:11:00Z</dcterms:modified>
</cp:coreProperties>
</file>