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</w:t>
      </w:r>
      <w:r w:rsidR="005B06FF">
        <w:rPr>
          <w:rFonts w:eastAsia="Times New Roman" w:cstheme="minorHAnsi"/>
          <w:b/>
          <w:bCs/>
        </w:rPr>
        <w:t>623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5B06FF">
        <w:rPr>
          <w:rFonts w:eastAsia="Times New Roman" w:cstheme="minorHAnsi"/>
          <w:b/>
          <w:bCs/>
        </w:rPr>
        <w:t>0</w:t>
      </w:r>
      <w:r w:rsidR="004215F7">
        <w:rPr>
          <w:rFonts w:eastAsia="Times New Roman" w:cstheme="minorHAnsi"/>
          <w:b/>
          <w:bCs/>
        </w:rPr>
        <w:t>4302</w:t>
      </w:r>
      <w:r w:rsidR="005B06FF">
        <w:rPr>
          <w:rFonts w:eastAsia="Times New Roman" w:cstheme="minorHAnsi"/>
          <w:b/>
          <w:bCs/>
        </w:rPr>
        <w:t>0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043015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62EE3" w:rsidRDefault="00262EE3" w:rsidP="00262EE3">
            <w:pPr>
              <w:spacing w:after="7" w:line="245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62EE3">
              <w:rPr>
                <w:rFonts w:cstheme="minorHAnsi"/>
                <w:b/>
                <w:bCs/>
                <w:sz w:val="20"/>
                <w:szCs w:val="20"/>
              </w:rPr>
              <w:t>#1- (</w:t>
            </w:r>
            <w:proofErr w:type="gramStart"/>
            <w:r w:rsidRPr="00262EE3">
              <w:rPr>
                <w:rFonts w:cstheme="minorHAnsi"/>
                <w:b/>
                <w:bCs/>
                <w:sz w:val="20"/>
                <w:szCs w:val="20"/>
              </w:rPr>
              <w:t>1)DY</w:t>
            </w:r>
            <w:proofErr w:type="gramEnd"/>
            <w:r w:rsidRPr="00262EE3">
              <w:rPr>
                <w:rFonts w:cstheme="minorHAnsi"/>
                <w:b/>
                <w:bCs/>
                <w:sz w:val="20"/>
                <w:szCs w:val="20"/>
              </w:rPr>
              <w:t>-20TEETH(TM4303BY)PINION BLANKS AS PER DRG.NO.34391680002 REV.04 AND MATERIAL SPEC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62EE3">
              <w:rPr>
                <w:rFonts w:cstheme="minorHAnsi"/>
                <w:b/>
                <w:bCs/>
                <w:sz w:val="20"/>
                <w:szCs w:val="20"/>
              </w:rPr>
              <w:t>NO. TM10581 REV.08(2)TEST SAMPLES TO BE SUPPLIED AS PER MATERIAL SPECIFICATION(3)IDENTIFICATION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62EE3">
              <w:rPr>
                <w:rFonts w:cstheme="minorHAnsi"/>
                <w:b/>
                <w:bCs/>
                <w:sz w:val="20"/>
                <w:szCs w:val="20"/>
              </w:rPr>
              <w:t>DETAILS (AS PO.NO.,DRG.NO.,HEAT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62EE3">
              <w:rPr>
                <w:rFonts w:cstheme="minorHAnsi"/>
                <w:b/>
                <w:bCs/>
                <w:sz w:val="20"/>
                <w:szCs w:val="20"/>
              </w:rPr>
              <w:t>NO.,BLANK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62EE3">
              <w:rPr>
                <w:rFonts w:cstheme="minorHAnsi"/>
                <w:b/>
                <w:bCs/>
                <w:sz w:val="20"/>
                <w:szCs w:val="20"/>
              </w:rPr>
              <w:t>SRL.NO.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62EE3">
              <w:rPr>
                <w:rFonts w:cstheme="minorHAnsi"/>
                <w:b/>
                <w:bCs/>
                <w:sz w:val="20"/>
                <w:szCs w:val="20"/>
              </w:rPr>
              <w:t>AND SUPPLIER CODE)SHOULD BE PUNCHED 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62EE3">
              <w:rPr>
                <w:rFonts w:cstheme="minorHAnsi"/>
                <w:b/>
                <w:bCs/>
                <w:sz w:val="20"/>
                <w:szCs w:val="20"/>
              </w:rPr>
              <w:t>PINION FACE AND TEST BAR.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262EE3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1024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A13819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03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262EE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23072E" w:rsidRDefault="00262EE3" w:rsidP="0057582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262EE3">
              <w:rPr>
                <w:b/>
                <w:bCs/>
                <w:sz w:val="20"/>
                <w:szCs w:val="20"/>
              </w:rPr>
              <w:t>#2- (1)HSD-23T(HS15250A)PINION BLANKS DRG.NO.34391660015 REV.00 AND MATERIAL SPEC NO.TM1058</w:t>
            </w:r>
            <w:r w:rsidR="008369DA">
              <w:rPr>
                <w:b/>
                <w:bCs/>
                <w:sz w:val="20"/>
                <w:szCs w:val="20"/>
              </w:rPr>
              <w:t>1</w:t>
            </w:r>
            <w:r w:rsidRPr="00262EE3">
              <w:rPr>
                <w:b/>
                <w:bCs/>
                <w:sz w:val="20"/>
                <w:szCs w:val="20"/>
              </w:rPr>
              <w:t xml:space="preserve"> REV.08 (2)TEST SAMPLES TO BE SUPPLIED AS PER MATERIAL </w:t>
            </w:r>
            <w:bookmarkStart w:id="0" w:name="_GoBack"/>
            <w:bookmarkEnd w:id="0"/>
            <w:r w:rsidRPr="00262EE3">
              <w:rPr>
                <w:b/>
                <w:bCs/>
                <w:sz w:val="20"/>
                <w:szCs w:val="20"/>
              </w:rPr>
              <w:t>SPECIFICATION(3)IDENTIFICATION DETAILS (AS PO.NO.,DRG.NO.,HEAT NO.,BLANK SRL.NO.AND SUPPLIER CODE)SHOULD BE PUNCH ON PINION FACE AND TEST BARS.</w:t>
            </w:r>
          </w:p>
        </w:tc>
        <w:tc>
          <w:tcPr>
            <w:tcW w:w="2126" w:type="dxa"/>
            <w:vAlign w:val="center"/>
          </w:tcPr>
          <w:p w:rsidR="008E4DE5" w:rsidRDefault="00262EE3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194</w:t>
            </w:r>
            <w:r w:rsidR="004215F7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>
              <w:rPr>
                <w:rFonts w:cstheme="minorHAnsi"/>
                <w:b/>
                <w:bCs/>
                <w:lang w:val="en-IN" w:bidi="hi-IN"/>
              </w:rPr>
              <w:t>No</w:t>
            </w:r>
            <w:r w:rsidR="004215F7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>
              <w:rPr>
                <w:rFonts w:cstheme="minorHAnsi"/>
                <w:b/>
                <w:bCs/>
                <w:color w:val="000000"/>
              </w:rPr>
              <w:t>0</w:t>
            </w:r>
            <w:r w:rsidR="004215F7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B06FF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369DA"/>
    <w:rsid w:val="008E4DE5"/>
    <w:rsid w:val="008F5F8E"/>
    <w:rsid w:val="00975E1C"/>
    <w:rsid w:val="00A12D48"/>
    <w:rsid w:val="00A13819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56C9E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6951A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47</cp:revision>
  <dcterms:created xsi:type="dcterms:W3CDTF">2022-01-15T10:20:00Z</dcterms:created>
  <dcterms:modified xsi:type="dcterms:W3CDTF">2025-01-24T09:02:00Z</dcterms:modified>
</cp:coreProperties>
</file>