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BB7497">
              <w:rPr>
                <w:b/>
                <w:sz w:val="22"/>
              </w:rPr>
              <w:t>7772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BB7497">
              <w:rPr>
                <w:rFonts w:ascii="Arial Narrow" w:hAnsi="Arial Narrow"/>
                <w:b/>
                <w:sz w:val="22"/>
              </w:rPr>
              <w:t>2612100017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</w:t>
            </w:r>
            <w:r w:rsidR="00BB7497">
              <w:rPr>
                <w:rFonts w:ascii="Arial Narrow" w:hAnsi="Arial Narrow"/>
                <w:b/>
                <w:sz w:val="22"/>
              </w:rPr>
              <w:t>2934</w:t>
            </w:r>
            <w:r w:rsidR="00BE3B77">
              <w:rPr>
                <w:rFonts w:ascii="Arial Narrow" w:hAnsi="Arial Narrow"/>
                <w:b/>
                <w:sz w:val="22"/>
              </w:rPr>
              <w:t>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BB7497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11.03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BB7497">
              <w:rPr>
                <w:b/>
                <w:sz w:val="22"/>
              </w:rPr>
              <w:t>22</w:t>
            </w:r>
            <w:r w:rsidR="00200658">
              <w:rPr>
                <w:b/>
                <w:sz w:val="22"/>
              </w:rPr>
              <w:t>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bookmarkStart w:id="0" w:name="_GoBack"/>
      <w:bookmarkEnd w:id="0"/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BB7497">
              <w:rPr>
                <w:b/>
                <w:i/>
                <w:iCs/>
                <w:sz w:val="24"/>
                <w:szCs w:val="22"/>
              </w:rPr>
              <w:t>24</w:t>
            </w:r>
            <w:r w:rsidR="00200658">
              <w:rPr>
                <w:b/>
                <w:i/>
                <w:iCs/>
                <w:sz w:val="24"/>
                <w:szCs w:val="22"/>
              </w:rPr>
              <w:t>.03.2021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BB7497">
              <w:rPr>
                <w:rFonts w:ascii="Arial Narrow" w:hAnsi="Arial Narrow"/>
                <w:b/>
                <w:sz w:val="22"/>
              </w:rPr>
              <w:t>17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25" w:rsidRDefault="000C6525">
      <w:r>
        <w:separator/>
      </w:r>
    </w:p>
  </w:endnote>
  <w:endnote w:type="continuationSeparator" w:id="0">
    <w:p w:rsidR="000C6525" w:rsidRDefault="000C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B749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25" w:rsidRDefault="000C6525">
      <w:r>
        <w:separator/>
      </w:r>
    </w:p>
  </w:footnote>
  <w:footnote w:type="continuationSeparator" w:id="0">
    <w:p w:rsidR="000C6525" w:rsidRDefault="000C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15D87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16</cp:revision>
  <cp:lastPrinted>2019-09-24T08:45:00Z</cp:lastPrinted>
  <dcterms:created xsi:type="dcterms:W3CDTF">2020-06-16T12:08:00Z</dcterms:created>
  <dcterms:modified xsi:type="dcterms:W3CDTF">2021-03-22T06:21:00Z</dcterms:modified>
</cp:coreProperties>
</file>