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DT:28/09/2021</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FRX/2122/001</w:t>
      </w:r>
    </w:p>
    <w:p>
      <w:pPr>
        <w:rPr>
          <w:sz w:val="24"/>
          <w:szCs w:val="24"/>
        </w:rPr>
      </w:pPr>
      <w:r>
        <w:rPr>
          <w:sz w:val="24"/>
          <w:szCs w:val="24"/>
        </w:rPr>
        <w:t>Sealed tenders are invited in</w:t>
      </w:r>
      <w:r>
        <w:rPr>
          <w:b/>
          <w:bCs/>
          <w:sz w:val="24"/>
          <w:szCs w:val="24"/>
        </w:rPr>
        <w:t xml:space="preserve"> TWO BID/OPEN TENDER   </w:t>
      </w:r>
      <w:r>
        <w:rPr>
          <w:sz w:val="24"/>
          <w:szCs w:val="24"/>
        </w:rPr>
        <w:t xml:space="preserve"> system (One Techno-commercial and other for price bid)   from the Contractors for the work of </w:t>
      </w:r>
      <w:r>
        <w:rPr>
          <w:rFonts w:cs="Times New Roman"/>
          <w:b/>
          <w:bCs/>
          <w:szCs w:val="28"/>
        </w:rPr>
        <w:t xml:space="preserve"> PREVENTIVE AND BREAKDOWN MAINTENANCE   OF( M/C) </w:t>
      </w:r>
      <w:bookmarkStart w:id="0" w:name="_GoBack"/>
      <w:bookmarkEnd w:id="0"/>
      <w:r>
        <w:rPr>
          <w:rFonts w:cs="Times New Roman"/>
          <w:b/>
          <w:bCs/>
          <w:szCs w:val="28"/>
        </w:rPr>
        <w:t xml:space="preserve">ELEVATORS IN TCB BLIII </w:t>
      </w:r>
      <w:r>
        <w:rPr>
          <w:sz w:val="24"/>
          <w:szCs w:val="24"/>
        </w:rPr>
        <w:t>as per Annexure – I (scope of work),  List of plants (Annexure-II),Schedule of rates(Annexure-III),General terms &amp; condition (Annexure IV), statutory clauses &amp; Instruction to contractor (Annexure V), ),Declaration by Contractors (Annexure VI),Force Majeure Clause and Risk and Cost option (Annexure VII).</w:t>
      </w:r>
    </w:p>
    <w:p>
      <w:pPr>
        <w:rPr>
          <w:sz w:val="24"/>
          <w:szCs w:val="24"/>
        </w:rPr>
      </w:pPr>
    </w:p>
    <w:p>
      <w:pPr>
        <w:rPr>
          <w:sz w:val="24"/>
          <w:szCs w:val="24"/>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 </w:t>
      </w:r>
      <w:r>
        <w:rPr>
          <w:rFonts w:cs="Times New Roman"/>
          <w:b/>
          <w:bCs/>
          <w:sz w:val="24"/>
          <w:szCs w:val="24"/>
          <w:u w:val="single"/>
        </w:rPr>
        <w:t>08.10.2021</w:t>
      </w:r>
      <w:r>
        <w:rPr>
          <w:rFonts w:cs="Times New Roman"/>
          <w:sz w:val="24"/>
          <w:szCs w:val="24"/>
        </w:rPr>
        <w:t xml:space="preserve"> up to 11A.M. All the envelopes should be dropped in the tender box (Green colour)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b/>
          <w:bCs/>
          <w:sz w:val="24"/>
          <w:szCs w:val="24"/>
          <w:u w:val="single"/>
        </w:rPr>
        <w:t>:</w:t>
      </w:r>
      <w:r>
        <w:rPr>
          <w:rFonts w:cs="Times New Roman"/>
          <w:sz w:val="24"/>
          <w:szCs w:val="24"/>
        </w:rPr>
        <w:t xml:space="preserve"> - </w:t>
      </w:r>
      <w:r>
        <w:rPr>
          <w:rFonts w:cs="Times New Roman"/>
          <w:b/>
          <w:bCs/>
          <w:sz w:val="24"/>
          <w:szCs w:val="24"/>
          <w:u w:val="single"/>
        </w:rPr>
        <w:t>08.10.2021</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 xml:space="preserve">3).Contract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sz w:val="24"/>
          <w:szCs w:val="24"/>
        </w:rPr>
      </w:pPr>
      <w:r>
        <w:rPr>
          <w:rFonts w:cs="Times New Roman"/>
          <w:b/>
          <w:bCs/>
          <w:sz w:val="24"/>
          <w:szCs w:val="24"/>
        </w:rPr>
        <w:t>4)</w:t>
      </w:r>
      <w:r>
        <w:rPr>
          <w:rFonts w:cs="Times New Roman"/>
          <w:sz w:val="24"/>
          <w:szCs w:val="24"/>
        </w:rPr>
        <w:t xml:space="preserve"> </w:t>
      </w:r>
      <w:r>
        <w:rPr>
          <w:rFonts w:cs="Times New Roman"/>
          <w:b/>
          <w:bCs/>
          <w:sz w:val="24"/>
          <w:szCs w:val="24"/>
        </w:rPr>
        <w:t>Scope of work:</w:t>
      </w:r>
      <w:r>
        <w:rPr>
          <w:rFonts w:cs="Times New Roman"/>
          <w:sz w:val="24"/>
          <w:szCs w:val="24"/>
        </w:rPr>
        <w:t xml:space="preserve"> </w:t>
      </w:r>
      <w:r>
        <w:rPr>
          <w:rFonts w:cs="Times New Roman"/>
          <w:b/>
          <w:bCs/>
          <w:szCs w:val="28"/>
        </w:rPr>
        <w:t>PREVENTIVE AND BREAKDOWN MAINTENANCE   OF ELEVATORS IN TCB BLIII</w:t>
      </w:r>
      <w:r>
        <w:rPr>
          <w:sz w:val="24"/>
          <w:szCs w:val="24"/>
        </w:rPr>
        <w:t xml:space="preserve"> area as per Annexure –I (scope of work ), List </w:t>
      </w:r>
      <w:r>
        <w:rPr>
          <w:rFonts w:cs="Times New Roman"/>
          <w:szCs w:val="28"/>
        </w:rPr>
        <w:t>ELEVATORS</w:t>
      </w:r>
      <w:r>
        <w:rPr>
          <w:rFonts w:cs="Times New Roman"/>
          <w:b/>
          <w:bCs/>
          <w:szCs w:val="28"/>
        </w:rPr>
        <w:t xml:space="preserve"> </w:t>
      </w:r>
      <w:r>
        <w:rPr>
          <w:sz w:val="24"/>
          <w:szCs w:val="24"/>
        </w:rPr>
        <w:t>And schedule of Rate Annexure-III .</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Rs. 200/-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6). EARNEST MONEY DEPOSIT – Rs. 6225/- is to be deposited as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(i)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(ii) EMD amount in excess of ₹ 2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iii)The EMD shall be accepted in e-Mode (NEFT/RTGS/Net-banking/POS/SB COLLECT etc.) The online receipt shall be enclosed along with the techno-commercial bid. For NEFT/RTGS payment, refer bank details as per Annexure ”X”. For SB Collect/Net Banking payment, follow the link mentioned at 9(ii) of this</w:t>
      </w:r>
    </w:p>
    <w:p>
      <w:pPr>
        <w:rPr>
          <w:rFonts w:cs="Times New Roman"/>
          <w:bCs/>
          <w:sz w:val="24"/>
          <w:szCs w:val="24"/>
        </w:rPr>
      </w:pPr>
      <w:r>
        <w:rPr>
          <w:rFonts w:cs="Times New Roman"/>
          <w:bCs/>
          <w:sz w:val="24"/>
          <w:szCs w:val="24"/>
        </w:rPr>
        <w:t>NIT. NOTE:-Benefit under the public procurement policy for MSEs, Order 2012 in regard of EMD is applicable in this tender.</w:t>
      </w:r>
      <w:r>
        <w:rPr>
          <w:rFonts w:cs="Times New Roman"/>
          <w:sz w:val="24"/>
          <w:szCs w:val="24"/>
        </w:rPr>
        <w:t xml:space="preserve"> </w:t>
      </w:r>
      <w:r>
        <w:rPr>
          <w:rFonts w:cs="Times New Roman"/>
          <w:bCs/>
          <w:sz w:val="24"/>
          <w:szCs w:val="24"/>
        </w:rPr>
        <w:t xml:space="preserve">“Online e-payment” facility through SB-collect is available on intranet </w:t>
      </w:r>
      <w:r>
        <w:rPr>
          <w:rFonts w:cs="Times New Roman"/>
          <w:bCs/>
          <w:sz w:val="24"/>
          <w:szCs w:val="24"/>
        </w:rPr>
        <w:lastRenderedPageBreak/>
        <w:t>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8.</w:t>
      </w:r>
      <w:r>
        <w:rPr>
          <w:rFonts w:ascii="Times New Roman" w:hAnsi="Times New Roman" w:cs="Times New Roman"/>
          <w:b/>
          <w:bCs/>
          <w:u w:val="single"/>
        </w:rPr>
        <w:t>SECURITY DEPOSIT</w:t>
      </w:r>
      <w:r>
        <w:rPr>
          <w:rFonts w:ascii="Times New Roman" w:hAnsi="Times New Roman" w:cs="Times New Roman"/>
          <w:b/>
          <w:bCs/>
        </w:rPr>
        <w:t xml:space="preserve">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r>
        <w:rPr>
          <w:rFonts w:cs="Times New Roman"/>
          <w:sz w:val="24"/>
          <w:szCs w:val="24"/>
        </w:rPr>
        <w:t>i) Electronic Fund Transfer mode via following link :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lastRenderedPageBreak/>
        <w:t>a/c BHEL,Bhopal)</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r>
        <w:rPr>
          <w:rFonts w:cs="Times New Roman"/>
          <w:sz w:val="24"/>
          <w:szCs w:val="24"/>
        </w:rPr>
        <w:t>Kisan Vikas Patras etc. (held in the name of Contractor furnishing the security and duly endorsed/ hypothecated/ pledged, as applicable, in favour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Pr>
          <w:rFonts w:ascii="Times New Roman" w:hAnsi="Times New Roman" w:cs="Times New Roman"/>
          <w:color w:val="auto"/>
        </w:rPr>
        <w:t xml:space="preserve">is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color w:val="auto"/>
        </w:rPr>
        <w:t>6. Security Deposit shall be released to the Contractor upon fulfilment of contractual obligations as per terms of the contract,</w:t>
      </w:r>
      <w:r>
        <w:rPr>
          <w:rFonts w:ascii="Times New Roman" w:hAnsi="Times New Roman" w:cs="Times New Roman"/>
          <w:b/>
          <w:bCs/>
          <w:color w:val="auto"/>
        </w:rPr>
        <w:t xml:space="preserve"> </w:t>
      </w:r>
      <w:r>
        <w:rPr>
          <w:rFonts w:ascii="Times New Roman" w:hAnsi="Times New Roman" w:cs="Times New Roman"/>
          <w:color w:val="auto"/>
        </w:rPr>
        <w:t xml:space="preserve"> Contractor, who will be awarded work, have to deposit Security Deposit before start of the work..</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rPr>
          <w:rFonts w:ascii="Times New Roman" w:hAnsi="Times New Roman" w:cs="Times New Roman"/>
          <w:b/>
          <w:bCs/>
        </w:rPr>
      </w:pP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w:t>
      </w:r>
      <w:r>
        <w:rPr>
          <w:rFonts w:cs="Times New Roman"/>
          <w:b/>
          <w:bCs/>
          <w:sz w:val="24"/>
          <w:szCs w:val="24"/>
        </w:rPr>
        <w:t>in two bid system in a separate sealed envelope</w:t>
      </w:r>
      <w:r>
        <w:rPr>
          <w:rFonts w:cs="Times New Roman"/>
          <w:sz w:val="24"/>
          <w:szCs w:val="24"/>
        </w:rPr>
        <w:t>. The Offer should be accompanied with details of the Earnest money deposit, Tender cost, E.S.I.  No., P.F.No., Labour License No.  , GST code no., PAN No., scope of work (Annexure I),</w:t>
      </w:r>
      <w:r>
        <w:rPr>
          <w:rFonts w:cs="Times New Roman"/>
          <w:b/>
          <w:bCs/>
          <w:szCs w:val="28"/>
        </w:rPr>
        <w:t xml:space="preserve"> list of ELEVATORS </w:t>
      </w:r>
      <w:r>
        <w:rPr>
          <w:sz w:val="24"/>
          <w:szCs w:val="24"/>
        </w:rPr>
        <w:t>(Annexure-II),</w:t>
      </w:r>
      <w:r>
        <w:rPr>
          <w:rFonts w:cs="Times New Roman"/>
          <w:sz w:val="24"/>
          <w:szCs w:val="24"/>
        </w:rPr>
        <w:t xml:space="preserve"> Schedule of rates (Annexure-III) General terms &amp; condition (Annexure IV), statutory clauses &amp; Instruction to contractor (Annexure V), duly signed.</w:t>
      </w:r>
    </w:p>
    <w:p>
      <w:pPr>
        <w:jc w:val="both"/>
        <w:rPr>
          <w:rFonts w:cs="Times New Roman"/>
          <w:b/>
          <w:bCs/>
          <w:sz w:val="24"/>
          <w:szCs w:val="24"/>
          <w:u w:val="single"/>
        </w:rPr>
      </w:pPr>
    </w:p>
    <w:p>
      <w:pPr>
        <w:jc w:val="both"/>
        <w:rPr>
          <w:rFonts w:cs="Times New Roman"/>
          <w:b/>
          <w:bCs/>
          <w:sz w:val="24"/>
          <w:szCs w:val="24"/>
          <w:u w:val="single"/>
        </w:rPr>
      </w:pPr>
    </w:p>
    <w:p>
      <w:pPr>
        <w:ind w:left="720" w:hanging="720"/>
        <w:jc w:val="both"/>
        <w:rPr>
          <w:sz w:val="24"/>
          <w:szCs w:val="24"/>
        </w:rPr>
      </w:pPr>
      <w:r>
        <w:rPr>
          <w:rFonts w:cs="Times New Roman"/>
          <w:b/>
          <w:bCs/>
          <w:sz w:val="24"/>
          <w:szCs w:val="24"/>
        </w:rPr>
        <w:t>10).</w:t>
      </w:r>
      <w:r>
        <w:rPr>
          <w:sz w:val="24"/>
          <w:szCs w:val="24"/>
        </w:rPr>
        <w:t xml:space="preserve"> The working group for the above preventive and breakdown maintenance activity should</w:t>
      </w:r>
    </w:p>
    <w:p>
      <w:pPr>
        <w:ind w:left="720" w:hanging="720"/>
        <w:jc w:val="both"/>
        <w:rPr>
          <w:b/>
          <w:bCs/>
          <w:sz w:val="24"/>
          <w:szCs w:val="24"/>
        </w:rPr>
      </w:pPr>
      <w:r>
        <w:rPr>
          <w:sz w:val="24"/>
          <w:szCs w:val="24"/>
        </w:rPr>
        <w:t xml:space="preserve">consists of minimum manpower of </w:t>
      </w:r>
      <w:r>
        <w:rPr>
          <w:b/>
          <w:bCs/>
          <w:sz w:val="24"/>
          <w:szCs w:val="24"/>
        </w:rPr>
        <w:t>skilled workers(02 nos) .</w:t>
      </w:r>
    </w:p>
    <w:p>
      <w:pPr>
        <w:jc w:val="both"/>
        <w:rPr>
          <w:b/>
          <w:sz w:val="24"/>
          <w:szCs w:val="24"/>
        </w:rPr>
      </w:pPr>
      <w:r>
        <w:rPr>
          <w:bCs/>
          <w:sz w:val="24"/>
          <w:szCs w:val="24"/>
        </w:rPr>
        <w:t xml:space="preserve">contractor may depute more than the minimum technicians as appropriate to carryout work of </w:t>
      </w:r>
      <w:r>
        <w:rPr>
          <w:sz w:val="24"/>
          <w:szCs w:val="24"/>
        </w:rPr>
        <w:t xml:space="preserve">Preventive and Breakdown </w:t>
      </w:r>
      <w:r>
        <w:rPr>
          <w:snapToGrid w:val="0"/>
          <w:sz w:val="24"/>
          <w:szCs w:val="24"/>
        </w:rPr>
        <w:t>Maintenance of  ELEVATORS</w:t>
      </w:r>
      <w:r>
        <w:rPr>
          <w:bCs/>
          <w:sz w:val="24"/>
          <w:szCs w:val="24"/>
        </w:rPr>
        <w:t>.</w:t>
      </w:r>
      <w:r>
        <w:rPr>
          <w:sz w:val="24"/>
          <w:szCs w:val="24"/>
        </w:rPr>
        <w:t xml:space="preserve"> If required, staff are to be detained on extra time beyond 4.00 PM or Sunday or </w:t>
      </w:r>
      <w:smartTag w:uri="urn:schemas-microsoft-com:office:smarttags" w:element="place">
        <w:r>
          <w:rPr>
            <w:sz w:val="24"/>
            <w:szCs w:val="24"/>
          </w:rPr>
          <w:t>Holiday</w:t>
        </w:r>
      </w:smartTag>
      <w:r>
        <w:rPr>
          <w:sz w:val="24"/>
          <w:szCs w:val="24"/>
        </w:rPr>
        <w:t xml:space="preserve">. For this BHEL will not pay any thing </w:t>
      </w:r>
      <w:r>
        <w:rPr>
          <w:sz w:val="24"/>
          <w:szCs w:val="24"/>
        </w:rPr>
        <w:tab/>
        <w:t>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lastRenderedPageBreak/>
        <w:t xml:space="preserve">11)The Tenderer should indicate Enquiry No., Name of the work, Date &amp; Time of tender opening on the top of the envelope. </w:t>
      </w: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 (upto 2021)</w:t>
      </w:r>
      <w:r>
        <w:rPr>
          <w:rFonts w:cs="Times New Roman"/>
          <w:bCs/>
          <w:sz w:val="24"/>
          <w:szCs w:val="24"/>
        </w:rPr>
        <w:t xml:space="preserve"> of previous year , should be at least </w:t>
      </w:r>
      <w:r>
        <w:rPr>
          <w:rFonts w:cs="Times New Roman"/>
          <w:b/>
          <w:sz w:val="24"/>
          <w:szCs w:val="24"/>
        </w:rPr>
        <w:t>Rs  1.00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(30/09/2021)</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Rs. </w:t>
      </w:r>
      <w:r>
        <w:rPr>
          <w:rFonts w:cs="Times New Roman"/>
          <w:b/>
          <w:sz w:val="24"/>
          <w:szCs w:val="24"/>
        </w:rPr>
        <w:t>2.66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r>
        <w:rPr>
          <w:rFonts w:cs="Times New Roman"/>
          <w:b/>
          <w:sz w:val="24"/>
          <w:szCs w:val="24"/>
        </w:rPr>
        <w:t>Rs. 1.66</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3- Three similar completed works in each of the contract value Rs.</w:t>
      </w:r>
      <w:r>
        <w:rPr>
          <w:rFonts w:cs="Times New Roman"/>
          <w:b/>
          <w:sz w:val="24"/>
          <w:szCs w:val="24"/>
        </w:rPr>
        <w:t xml:space="preserve">1.33 </w:t>
      </w:r>
      <w:r>
        <w:rPr>
          <w:rFonts w:cs="Times New Roman"/>
          <w:bCs/>
          <w:sz w:val="24"/>
          <w:szCs w:val="24"/>
        </w:rPr>
        <w:t>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
          <w:bCs/>
          <w:sz w:val="24"/>
          <w:szCs w:val="24"/>
          <w:u w:val="single"/>
        </w:rPr>
      </w:pPr>
      <w:r>
        <w:rPr>
          <w:rFonts w:cs="Times New Roman"/>
          <w:b/>
          <w:sz w:val="24"/>
          <w:szCs w:val="24"/>
          <w:u w:val="single"/>
        </w:rPr>
        <w:t>Similar work means</w:t>
      </w:r>
      <w:r>
        <w:rPr>
          <w:b/>
          <w:bCs/>
        </w:rPr>
        <w:t xml:space="preserve">: </w:t>
      </w:r>
      <w:r>
        <w:rPr>
          <w:b/>
          <w:bCs/>
          <w:sz w:val="24"/>
          <w:szCs w:val="24"/>
          <w:u w:val="single"/>
        </w:rPr>
        <w:t xml:space="preserve">Annual Maintenance Contract(AMC) Preventive/Breakdown </w:t>
      </w:r>
      <w:r>
        <w:rPr>
          <w:b/>
          <w:bCs/>
          <w:snapToGrid w:val="0"/>
          <w:sz w:val="24"/>
          <w:szCs w:val="24"/>
          <w:u w:val="single"/>
        </w:rPr>
        <w:t>Maintenance of ELEVATOR.</w:t>
      </w:r>
    </w:p>
    <w:p>
      <w:pPr>
        <w:jc w:val="both"/>
        <w:rPr>
          <w:rFonts w:cs="Times New Roman"/>
          <w:bCs/>
          <w:sz w:val="24"/>
          <w:szCs w:val="24"/>
        </w:rPr>
      </w:pPr>
    </w:p>
    <w:p>
      <w:pPr>
        <w:jc w:val="both"/>
        <w:rPr>
          <w:rFonts w:cs="Times New Roman"/>
          <w:b/>
          <w:sz w:val="24"/>
          <w:szCs w:val="24"/>
          <w:u w:val="single"/>
        </w:rPr>
      </w:pPr>
      <w:r>
        <w:rPr>
          <w:rFonts w:cs="Times New Roman"/>
          <w:b/>
          <w:sz w:val="24"/>
          <w:szCs w:val="24"/>
          <w:u w:val="single"/>
        </w:rPr>
        <w:t>Certificate from Private Individuals for whom such works are executed/being executed should not be accepted.</w:t>
      </w:r>
    </w:p>
    <w:p>
      <w:pPr>
        <w:jc w:val="both"/>
        <w:rPr>
          <w:rFonts w:cs="Times New Roman"/>
          <w:bCs/>
          <w:sz w:val="24"/>
          <w:szCs w:val="24"/>
        </w:rPr>
      </w:pP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5.</w:t>
      </w:r>
      <w:r>
        <w:rPr>
          <w:rFonts w:cs="Times New Roman"/>
          <w:b/>
          <w:bCs/>
          <w:sz w:val="24"/>
          <w:szCs w:val="24"/>
          <w:u w:val="single"/>
        </w:rPr>
        <w:t xml:space="preserve"> The work is indivisible (AMC) , W/O  will be place  only one Contractor on the basis of LI ,whether Contractor may be either MSME OR NON MSME .</w:t>
      </w:r>
    </w:p>
    <w:p>
      <w:pPr>
        <w:jc w:val="both"/>
        <w:rPr>
          <w:rFonts w:cs="Times New Roman"/>
          <w:bCs/>
          <w:sz w:val="24"/>
          <w:szCs w:val="24"/>
        </w:rPr>
      </w:pPr>
    </w:p>
    <w:p>
      <w:pPr>
        <w:jc w:val="both"/>
        <w:rPr>
          <w:rFonts w:cs="Times New Roman"/>
          <w:b/>
          <w:sz w:val="24"/>
          <w:szCs w:val="24"/>
          <w:u w:val="single"/>
        </w:rPr>
      </w:pPr>
      <w:r>
        <w:rPr>
          <w:rFonts w:cs="Times New Roman"/>
          <w:b/>
          <w:sz w:val="24"/>
          <w:szCs w:val="24"/>
          <w:u w:val="single"/>
        </w:rPr>
        <w:t>14. Measurement of jobs &amp; Payment:</w:t>
      </w:r>
    </w:p>
    <w:p>
      <w:pPr>
        <w:jc w:val="both"/>
        <w:rPr>
          <w:rFonts w:cs="Times New Roman"/>
          <w:bCs/>
          <w:sz w:val="24"/>
          <w:szCs w:val="24"/>
        </w:rPr>
      </w:pPr>
      <w:r>
        <w:rPr>
          <w:rFonts w:cs="Times New Roman"/>
          <w:bCs/>
          <w:sz w:val="24"/>
          <w:szCs w:val="24"/>
        </w:rPr>
        <w:t xml:space="preserve">i) The Payment shall be made on </w:t>
      </w:r>
      <w:r>
        <w:rPr>
          <w:rFonts w:cs="Times New Roman"/>
          <w:b/>
          <w:sz w:val="24"/>
          <w:szCs w:val="24"/>
          <w:u w:val="single"/>
        </w:rPr>
        <w:t>monthly basis on submission</w:t>
      </w:r>
      <w:r>
        <w:rPr>
          <w:rFonts w:cs="Times New Roman"/>
          <w:bCs/>
          <w:sz w:val="24"/>
          <w:szCs w:val="24"/>
        </w:rPr>
        <w:t xml:space="preserve"> of technically and commercially clear bill after every month through running bills within specified time on </w:t>
      </w:r>
      <w:r>
        <w:rPr>
          <w:rFonts w:cs="Times New Roman"/>
          <w:b/>
          <w:sz w:val="24"/>
          <w:szCs w:val="24"/>
          <w:u w:val="single"/>
        </w:rPr>
        <w:t>the basis of actual deployment</w:t>
      </w:r>
      <w:r>
        <w:rPr>
          <w:rFonts w:cs="Times New Roman"/>
          <w:bCs/>
          <w:sz w:val="24"/>
          <w:szCs w:val="24"/>
        </w:rPr>
        <w:t xml:space="preserve"> only after the successful completion of work &amp; submission of final bill.</w:t>
      </w:r>
    </w:p>
    <w:p>
      <w:pPr>
        <w:jc w:val="both"/>
        <w:rPr>
          <w:rFonts w:cs="Times New Roman"/>
          <w:bCs/>
          <w:sz w:val="24"/>
          <w:szCs w:val="24"/>
        </w:rPr>
      </w:pPr>
      <w:r>
        <w:rPr>
          <w:rFonts w:cs="Times New Roman"/>
          <w:bCs/>
          <w:sz w:val="24"/>
          <w:szCs w:val="24"/>
        </w:rPr>
        <w:t>.Any disallowances of tax credit shall be recovered from contractor’s bill when disallowance attributed to them.  Payment of running bills shall be made within 60 days (45 days in case of MSMEs) from the date of submission of bills (measurement book) by the contractor, meeting all formalities and duly verified by Site Engineer.</w:t>
      </w:r>
    </w:p>
    <w:p>
      <w:pPr>
        <w:jc w:val="both"/>
        <w:rPr>
          <w:bCs/>
        </w:rPr>
      </w:pPr>
    </w:p>
    <w:p>
      <w:pPr>
        <w:jc w:val="both"/>
        <w:rPr>
          <w:rFonts w:cs="Times New Roman"/>
          <w:bCs/>
          <w:sz w:val="24"/>
          <w:szCs w:val="24"/>
        </w:rPr>
      </w:pPr>
      <w:r>
        <w:rPr>
          <w:bCs/>
        </w:rPr>
        <w:t>ii</w:t>
      </w:r>
      <w:r>
        <w:rPr>
          <w:rFonts w:cs="Times New Roman"/>
          <w:bCs/>
          <w:sz w:val="24"/>
          <w:szCs w:val="24"/>
        </w:rPr>
        <w:t>) Income tax/GST will be deducted from the bills as applicable.</w:t>
      </w:r>
    </w:p>
    <w:p>
      <w:pPr>
        <w:jc w:val="both"/>
        <w:rPr>
          <w:rFonts w:cs="Times New Roman"/>
          <w:bCs/>
          <w:sz w:val="24"/>
          <w:szCs w:val="24"/>
        </w:rPr>
      </w:pPr>
    </w:p>
    <w:p>
      <w:pPr>
        <w:jc w:val="both"/>
        <w:rPr>
          <w:rFonts w:cs="Times New Roman"/>
          <w:bCs/>
          <w:sz w:val="24"/>
          <w:szCs w:val="24"/>
        </w:rPr>
      </w:pPr>
    </w:p>
    <w:p>
      <w:pPr>
        <w:jc w:val="both"/>
        <w:rPr>
          <w:bCs/>
          <w:sz w:val="24"/>
          <w:szCs w:val="24"/>
        </w:rPr>
      </w:pPr>
      <w:r>
        <w:rPr>
          <w:b/>
          <w:sz w:val="24"/>
          <w:szCs w:val="24"/>
          <w:u w:val="single"/>
        </w:rPr>
        <w:t>15.PENALITY CLOUSE</w:t>
      </w:r>
      <w:r>
        <w:rPr>
          <w:bCs/>
          <w:sz w:val="24"/>
          <w:szCs w:val="24"/>
        </w:rPr>
        <w:t>:</w:t>
      </w:r>
    </w:p>
    <w:p>
      <w:pPr>
        <w:rPr>
          <w:rFonts w:ascii="Arial" w:hAnsi="Arial" w:cs="Arial"/>
          <w:color w:val="000000"/>
          <w:sz w:val="24"/>
          <w:szCs w:val="24"/>
        </w:rPr>
      </w:pPr>
    </w:p>
    <w:p>
      <w:pPr>
        <w:pStyle w:val="ListParagraph"/>
        <w:numPr>
          <w:ilvl w:val="0"/>
          <w:numId w:val="5"/>
        </w:numPr>
        <w:rPr>
          <w:rFonts w:ascii="Arial" w:hAnsi="Arial" w:cs="Arial"/>
          <w:color w:val="000000"/>
          <w:sz w:val="24"/>
          <w:szCs w:val="24"/>
        </w:rPr>
      </w:pPr>
      <w:r>
        <w:rPr>
          <w:rFonts w:ascii="Arial" w:hAnsi="Arial" w:cs="Arial"/>
          <w:color w:val="000000"/>
          <w:sz w:val="24"/>
          <w:szCs w:val="24"/>
        </w:rPr>
        <w:t>Short Deployment:</w:t>
      </w:r>
    </w:p>
    <w:p>
      <w:pPr>
        <w:pStyle w:val="ListParagraph"/>
        <w:numPr>
          <w:ilvl w:val="0"/>
          <w:numId w:val="5"/>
        </w:numPr>
        <w:rPr>
          <w:rFonts w:ascii="Arial" w:hAnsi="Arial" w:cs="Arial"/>
          <w:color w:val="000000"/>
          <w:sz w:val="24"/>
          <w:szCs w:val="24"/>
        </w:rPr>
      </w:pPr>
      <w:r>
        <w:rPr>
          <w:rFonts w:ascii="Arial" w:hAnsi="Arial" w:cs="Arial"/>
          <w:color w:val="000000"/>
          <w:sz w:val="24"/>
          <w:szCs w:val="24"/>
        </w:rPr>
        <w:t>a. Penalty shall be applicable only if attendance is less than 90% of (number of labors*303) working man days (Sunday &amp; Holiday will not be considered as working days) and shall be evaluated monthly.</w:t>
      </w:r>
    </w:p>
    <w:p>
      <w:pPr>
        <w:pStyle w:val="ListParagraph"/>
        <w:numPr>
          <w:ilvl w:val="0"/>
          <w:numId w:val="5"/>
        </w:numPr>
        <w:rPr>
          <w:rFonts w:ascii="Arial" w:hAnsi="Arial" w:cs="Arial"/>
          <w:color w:val="000000"/>
          <w:sz w:val="24"/>
          <w:szCs w:val="24"/>
        </w:rPr>
      </w:pPr>
      <w:r>
        <w:rPr>
          <w:rFonts w:ascii="Arial" w:hAnsi="Arial" w:cs="Arial"/>
          <w:color w:val="000000"/>
          <w:sz w:val="24"/>
          <w:szCs w:val="24"/>
        </w:rPr>
        <w:lastRenderedPageBreak/>
        <w:t>b. If attendance is less than 90 % than deductions will be done as per actual absentee of man-days.</w:t>
      </w:r>
    </w:p>
    <w:p>
      <w:pPr>
        <w:pStyle w:val="ListParagraph"/>
        <w:numPr>
          <w:ilvl w:val="0"/>
          <w:numId w:val="5"/>
        </w:numPr>
        <w:rPr>
          <w:rFonts w:ascii="Arial" w:hAnsi="Arial" w:cs="Arial"/>
          <w:color w:val="000000"/>
          <w:sz w:val="24"/>
          <w:szCs w:val="24"/>
        </w:rPr>
      </w:pPr>
      <w:r>
        <w:rPr>
          <w:rFonts w:ascii="Arial" w:hAnsi="Arial" w:cs="Arial"/>
          <w:color w:val="000000"/>
          <w:sz w:val="24"/>
          <w:szCs w:val="24"/>
        </w:rPr>
        <w:t>Example:</w:t>
      </w:r>
    </w:p>
    <w:p>
      <w:pPr>
        <w:pStyle w:val="ListParagraph"/>
        <w:numPr>
          <w:ilvl w:val="0"/>
          <w:numId w:val="5"/>
        </w:numPr>
        <w:rPr>
          <w:rFonts w:ascii="Arial" w:hAnsi="Arial" w:cs="Arial"/>
          <w:color w:val="000000"/>
          <w:sz w:val="24"/>
          <w:szCs w:val="24"/>
        </w:rPr>
      </w:pPr>
      <w:r>
        <w:rPr>
          <w:rFonts w:ascii="Arial" w:hAnsi="Arial" w:cs="Arial"/>
          <w:color w:val="000000"/>
          <w:sz w:val="24"/>
          <w:szCs w:val="24"/>
        </w:rPr>
        <w:t>If total attendance per month required is 100 man days and if 90 man-days is present in that month then No penalty shall be levied.</w:t>
      </w:r>
    </w:p>
    <w:p>
      <w:pPr>
        <w:pStyle w:val="ListParagraph"/>
        <w:numPr>
          <w:ilvl w:val="0"/>
          <w:numId w:val="5"/>
        </w:numPr>
        <w:rPr>
          <w:rFonts w:ascii="Arial" w:hAnsi="Arial" w:cs="Arial"/>
          <w:color w:val="000000"/>
          <w:sz w:val="24"/>
          <w:szCs w:val="24"/>
        </w:rPr>
      </w:pPr>
      <w:r>
        <w:rPr>
          <w:rFonts w:ascii="Arial" w:hAnsi="Arial" w:cs="Arial"/>
          <w:color w:val="000000"/>
          <w:sz w:val="24"/>
          <w:szCs w:val="24"/>
        </w:rPr>
        <w:t>If total attendance per month is 100 man-days and if 89 man-days is present in that month then penalty shall be levied on 11 man-days not on 01 man-days.</w:t>
      </w:r>
    </w:p>
    <w:p>
      <w:pPr>
        <w:pStyle w:val="ListParagraph"/>
        <w:numPr>
          <w:ilvl w:val="0"/>
          <w:numId w:val="5"/>
        </w:numPr>
        <w:rPr>
          <w:rFonts w:ascii="Arial" w:hAnsi="Arial" w:cs="Arial"/>
          <w:color w:val="000000"/>
          <w:sz w:val="24"/>
          <w:szCs w:val="24"/>
        </w:rPr>
      </w:pPr>
      <w:r>
        <w:rPr>
          <w:rFonts w:ascii="Arial" w:hAnsi="Arial" w:cs="Arial"/>
          <w:color w:val="000000"/>
          <w:sz w:val="24"/>
          <w:szCs w:val="24"/>
        </w:rPr>
        <w:t>If total attendance per month is 100 man-days and if 70 man-days is present in that month then penalty shall be levied on 30 man-days not on 20 man-days.</w:t>
      </w:r>
    </w:p>
    <w:p>
      <w:pPr>
        <w:pStyle w:val="ListParagraph"/>
        <w:numPr>
          <w:ilvl w:val="0"/>
          <w:numId w:val="5"/>
        </w:numPr>
        <w:rPr>
          <w:rFonts w:ascii="Arial" w:hAnsi="Arial" w:cs="Arial"/>
          <w:color w:val="000000"/>
          <w:sz w:val="24"/>
          <w:szCs w:val="24"/>
        </w:rPr>
      </w:pPr>
      <w:r>
        <w:rPr>
          <w:rFonts w:ascii="Arial" w:hAnsi="Arial" w:cs="Arial"/>
          <w:color w:val="000000"/>
          <w:sz w:val="24"/>
          <w:szCs w:val="24"/>
        </w:rPr>
        <w:t>c. Deduction will be done @ (Total award value / (303*number of labors)) for per man-day absentee.</w:t>
      </w:r>
    </w:p>
    <w:p>
      <w:pPr>
        <w:pStyle w:val="ListParagraph"/>
        <w:numPr>
          <w:ilvl w:val="0"/>
          <w:numId w:val="5"/>
        </w:numPr>
        <w:rPr>
          <w:rFonts w:ascii="Arial" w:hAnsi="Arial" w:cs="Arial"/>
          <w:color w:val="000000"/>
          <w:sz w:val="24"/>
          <w:szCs w:val="24"/>
        </w:rPr>
      </w:pPr>
      <w:r>
        <w:rPr>
          <w:rFonts w:ascii="Arial" w:hAnsi="Arial" w:cs="Arial"/>
          <w:color w:val="000000"/>
          <w:sz w:val="24"/>
          <w:szCs w:val="24"/>
        </w:rPr>
        <w:t>d. GST shall be extra charged on penalty amount.</w:t>
      </w:r>
    </w:p>
    <w:p>
      <w:pPr>
        <w:pStyle w:val="ListParagraph"/>
        <w:numPr>
          <w:ilvl w:val="0"/>
          <w:numId w:val="5"/>
        </w:numPr>
        <w:rPr>
          <w:rFonts w:ascii="Arial" w:hAnsi="Arial" w:cs="Arial"/>
          <w:color w:val="000000"/>
          <w:sz w:val="24"/>
          <w:szCs w:val="24"/>
        </w:rPr>
      </w:pPr>
      <w:r>
        <w:rPr>
          <w:rFonts w:ascii="Arial" w:hAnsi="Arial" w:cs="Arial"/>
          <w:color w:val="000000"/>
          <w:sz w:val="24"/>
          <w:szCs w:val="24"/>
        </w:rPr>
        <w:t>e. If any technician disobeys or disregards the order (verbal/written) given by the Engineer in-charge, he can be punished for being deprived of his wage for that day and he will be treated as absent.</w:t>
      </w:r>
    </w:p>
    <w:p>
      <w:pPr>
        <w:pStyle w:val="ListParagraph"/>
        <w:numPr>
          <w:ilvl w:val="0"/>
          <w:numId w:val="5"/>
        </w:numPr>
        <w:rPr>
          <w:rFonts w:ascii="Arial" w:hAnsi="Arial" w:cs="Arial"/>
          <w:color w:val="000000"/>
          <w:sz w:val="24"/>
          <w:szCs w:val="24"/>
        </w:rPr>
      </w:pPr>
      <w:r>
        <w:rPr>
          <w:rFonts w:ascii="Arial" w:hAnsi="Arial" w:cs="Arial"/>
          <w:color w:val="000000"/>
          <w:sz w:val="24"/>
          <w:szCs w:val="24"/>
        </w:rPr>
        <w:t>f. Only the decision of the Engineer in-charge will be valid for the above statement and it will be considered as final decision and no other response from contractor will be accepted on this decision.</w:t>
      </w:r>
    </w:p>
    <w:p>
      <w:pPr>
        <w:rPr>
          <w:rFonts w:ascii="Arial" w:hAnsi="Arial" w:cs="Arial"/>
          <w:color w:val="000000"/>
          <w:sz w:val="24"/>
          <w:szCs w:val="24"/>
        </w:rPr>
      </w:pPr>
    </w:p>
    <w:p>
      <w:pPr>
        <w:rPr>
          <w:rFonts w:ascii="Arial" w:hAnsi="Arial" w:cs="Arial"/>
          <w:color w:val="000000"/>
          <w:sz w:val="24"/>
          <w:szCs w:val="24"/>
        </w:rPr>
      </w:pPr>
    </w:p>
    <w:p>
      <w:pPr>
        <w:pStyle w:val="ListParagraph"/>
        <w:numPr>
          <w:ilvl w:val="0"/>
          <w:numId w:val="5"/>
        </w:numPr>
        <w:rPr>
          <w:rFonts w:ascii="Arial" w:hAnsi="Arial" w:cs="Arial"/>
          <w:color w:val="000000"/>
          <w:sz w:val="24"/>
          <w:szCs w:val="24"/>
        </w:rPr>
      </w:pPr>
      <w:r>
        <w:rPr>
          <w:b/>
          <w:sz w:val="24"/>
          <w:szCs w:val="24"/>
        </w:rPr>
        <w:t>ii) Delay in execution of work may cause penalty of ½% of contract value per week upto a maximum of 10% of contract value.</w:t>
      </w:r>
    </w:p>
    <w:p>
      <w:pPr>
        <w:jc w:val="both"/>
        <w:rPr>
          <w:b/>
          <w:sz w:val="24"/>
          <w:szCs w:val="24"/>
        </w:rPr>
      </w:pPr>
    </w:p>
    <w:p>
      <w:pPr>
        <w:jc w:val="both"/>
        <w:rPr>
          <w:b/>
          <w:sz w:val="24"/>
          <w:szCs w:val="24"/>
        </w:rPr>
      </w:pPr>
    </w:p>
    <w:p>
      <w:pPr>
        <w:jc w:val="both"/>
        <w:rPr>
          <w:bCs/>
          <w:sz w:val="24"/>
          <w:szCs w:val="24"/>
        </w:rPr>
      </w:pPr>
      <w:r>
        <w:rPr>
          <w:bCs/>
          <w:sz w:val="24"/>
          <w:szCs w:val="24"/>
        </w:rPr>
        <w:tab/>
      </w:r>
      <w:r>
        <w:rPr>
          <w:bCs/>
          <w:sz w:val="24"/>
          <w:szCs w:val="24"/>
        </w:rPr>
        <w:tab/>
        <w:t xml:space="preserve">iii) </w:t>
      </w:r>
      <w:r>
        <w:rPr>
          <w:b/>
          <w:sz w:val="24"/>
          <w:szCs w:val="24"/>
          <w:u w:val="single"/>
        </w:rPr>
        <w:t>Bonus Clouse:</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of Rs 35.07/per  per day for 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16.</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18)</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Cs/>
          <w:sz w:val="24"/>
          <w:szCs w:val="24"/>
        </w:rPr>
      </w:pPr>
    </w:p>
    <w:p>
      <w:pPr>
        <w:jc w:val="both"/>
        <w:rPr>
          <w:rFonts w:cs="Times New Roman"/>
          <w:b/>
          <w:sz w:val="24"/>
          <w:szCs w:val="24"/>
        </w:rPr>
      </w:pPr>
      <w:r>
        <w:rPr>
          <w:rFonts w:cs="Times New Roman"/>
          <w:b/>
          <w:sz w:val="24"/>
          <w:szCs w:val="24"/>
        </w:rPr>
        <w:t>19).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lastRenderedPageBreak/>
        <w:t>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20.</w:t>
      </w:r>
      <w:r>
        <w:rPr>
          <w:rFonts w:cs="Times New Roman"/>
          <w:sz w:val="24"/>
          <w:szCs w:val="24"/>
        </w:rPr>
        <w:t xml:space="preserve"> Quoted rates must be inclusive of all taxes, duties, incidentals etc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21.</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22</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23</w:t>
      </w:r>
      <w:r>
        <w:rPr>
          <w:rFonts w:cs="Times New Roman"/>
          <w:b/>
          <w:bCs/>
          <w:sz w:val="24"/>
          <w:szCs w:val="24"/>
        </w:rPr>
        <w:t xml:space="preserve"> COMPENSATION CLAUSE:-</w:t>
      </w:r>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r>
        <w:rPr>
          <w:rFonts w:cs="Times New Roman"/>
          <w:sz w:val="24"/>
          <w:szCs w:val="24"/>
        </w:rPr>
        <w:t>i. In the event of death or permanent disability resulting from Loss of both limbs: Rs. 10, 00,000/- (Rs. Ten Lakh)</w:t>
      </w:r>
    </w:p>
    <w:p>
      <w:pPr>
        <w:rPr>
          <w:rFonts w:cs="Times New Roman"/>
          <w:sz w:val="24"/>
          <w:szCs w:val="24"/>
        </w:rPr>
      </w:pPr>
      <w:r>
        <w:rPr>
          <w:rFonts w:cs="Times New Roman"/>
          <w:sz w:val="24"/>
          <w:szCs w:val="24"/>
        </w:rPr>
        <w:t>ii. In the event of other permanent disability: Rs.7, 00,000/-(Rs. Seven Lakh)</w:t>
      </w:r>
    </w:p>
    <w:p>
      <w:pPr>
        <w:rPr>
          <w:rFonts w:cs="Times New Roman"/>
          <w:sz w:val="24"/>
          <w:szCs w:val="24"/>
        </w:rPr>
      </w:pPr>
      <w:r>
        <w:rPr>
          <w:rFonts w:cs="Times New Roman"/>
          <w:sz w:val="24"/>
          <w:szCs w:val="24"/>
        </w:rPr>
        <w:t>d) Permanent Disablement: A disablement that is classified as a permanent total disablement under the provison to Section 2 (i) of the Employee’s Compensation Act, 1923”.</w:t>
      </w:r>
    </w:p>
    <w:p>
      <w:pPr>
        <w:rPr>
          <w:rFonts w:cs="Times New Roman"/>
          <w:sz w:val="24"/>
          <w:szCs w:val="24"/>
        </w:rPr>
      </w:pPr>
      <w:r>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24.</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25.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Payment to contractor for GST portion will be released only after completion of above activity and on availment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levied/leviable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29</w:t>
      </w:r>
      <w:r>
        <w:rPr>
          <w:rFonts w:cs="Times New Roman"/>
          <w:b/>
          <w:bCs/>
          <w:sz w:val="24"/>
          <w:szCs w:val="24"/>
          <w:u w:val="single"/>
          <w:lang w:val="en-IN" w:eastAsia="en-IN"/>
        </w:rPr>
        <w:t>. Reverse Charge under GST</w:t>
      </w:r>
      <w:r>
        <w:rPr>
          <w:rFonts w:cs="Times New Roman"/>
          <w:sz w:val="24"/>
          <w:szCs w:val="24"/>
          <w:lang w:val="en-IN" w:eastAsia="en-IN"/>
        </w:rPr>
        <w:t xml:space="preserve"> :</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30)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w:t>
      </w:r>
      <w:r>
        <w:rPr>
          <w:rFonts w:cs="Times New Roman"/>
          <w:sz w:val="24"/>
          <w:szCs w:val="24"/>
        </w:rPr>
        <w:lastRenderedPageBreak/>
        <w:t xml:space="preserve">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t>31.Short Closure</w:t>
      </w:r>
      <w:r>
        <w:t xml:space="preserve"> :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t>32.</w:t>
      </w:r>
      <w:r>
        <w:rPr>
          <w:b/>
          <w:bCs/>
          <w:sz w:val="28"/>
          <w:szCs w:val="28"/>
          <w:u w:val="single"/>
        </w:rPr>
        <w:t xml:space="preserve"> </w:t>
      </w:r>
      <w:r>
        <w:rPr>
          <w:b/>
          <w:bCs/>
          <w:sz w:val="28"/>
          <w:szCs w:val="28"/>
        </w:rPr>
        <w:t xml:space="preserve">RA CLOUSE: </w:t>
      </w:r>
      <w:r>
        <w:rPr>
          <w:sz w:val="24"/>
          <w:szCs w:val="24"/>
        </w:rPr>
        <w:t>NOT APPLICABLE.</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33.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w:t>
      </w:r>
      <w:r>
        <w:rPr>
          <w:rFonts w:cs="Times New Roman"/>
          <w:sz w:val="24"/>
          <w:szCs w:val="24"/>
        </w:rPr>
        <w:lastRenderedPageBreak/>
        <w:t xml:space="preserve">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r>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34)</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35</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jc w:val="both"/>
        <w:rPr>
          <w:rFonts w:cs="Times New Roman"/>
          <w:b/>
          <w:sz w:val="24"/>
          <w:szCs w:val="24"/>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1B12019"/>
    <w:multiLevelType w:val="hybridMultilevel"/>
    <w:tmpl w:val="200857BA"/>
    <w:lvl w:ilvl="0" w:tplc="DC1C97EC">
      <w:numFmt w:val="bullet"/>
      <w:lvlText w:val="·"/>
      <w:lvlJc w:val="left"/>
      <w:pPr>
        <w:ind w:left="1888" w:hanging="536"/>
      </w:pPr>
      <w:rPr>
        <w:rFonts w:ascii="Arial" w:eastAsia="Arial" w:hAnsi="Arial" w:cs="Arial" w:hint="default"/>
        <w:w w:val="99"/>
        <w:sz w:val="19"/>
        <w:szCs w:val="19"/>
        <w:lang w:val="en-US" w:eastAsia="en-US" w:bidi="ar-SA"/>
      </w:rPr>
    </w:lvl>
    <w:lvl w:ilvl="1" w:tplc="BFEC6B82">
      <w:numFmt w:val="bullet"/>
      <w:lvlText w:val="·"/>
      <w:lvlJc w:val="left"/>
      <w:pPr>
        <w:ind w:left="2606" w:hanging="456"/>
      </w:pPr>
      <w:rPr>
        <w:rFonts w:ascii="Arial" w:eastAsia="Arial" w:hAnsi="Arial" w:cs="Arial" w:hint="default"/>
        <w:w w:val="99"/>
        <w:sz w:val="19"/>
        <w:szCs w:val="19"/>
        <w:lang w:val="en-US" w:eastAsia="en-US" w:bidi="ar-SA"/>
      </w:rPr>
    </w:lvl>
    <w:lvl w:ilvl="2" w:tplc="D40C88E6">
      <w:numFmt w:val="bullet"/>
      <w:lvlText w:val="•"/>
      <w:lvlJc w:val="left"/>
      <w:pPr>
        <w:ind w:left="3671" w:hanging="456"/>
      </w:pPr>
      <w:rPr>
        <w:rFonts w:hint="default"/>
        <w:lang w:val="en-US" w:eastAsia="en-US" w:bidi="ar-SA"/>
      </w:rPr>
    </w:lvl>
    <w:lvl w:ilvl="3" w:tplc="88D02426">
      <w:numFmt w:val="bullet"/>
      <w:lvlText w:val="•"/>
      <w:lvlJc w:val="left"/>
      <w:pPr>
        <w:ind w:left="4742" w:hanging="456"/>
      </w:pPr>
      <w:rPr>
        <w:rFonts w:hint="default"/>
        <w:lang w:val="en-US" w:eastAsia="en-US" w:bidi="ar-SA"/>
      </w:rPr>
    </w:lvl>
    <w:lvl w:ilvl="4" w:tplc="4170D12C">
      <w:numFmt w:val="bullet"/>
      <w:lvlText w:val="•"/>
      <w:lvlJc w:val="left"/>
      <w:pPr>
        <w:ind w:left="5813" w:hanging="456"/>
      </w:pPr>
      <w:rPr>
        <w:rFonts w:hint="default"/>
        <w:lang w:val="en-US" w:eastAsia="en-US" w:bidi="ar-SA"/>
      </w:rPr>
    </w:lvl>
    <w:lvl w:ilvl="5" w:tplc="1F18391C">
      <w:numFmt w:val="bullet"/>
      <w:lvlText w:val="•"/>
      <w:lvlJc w:val="left"/>
      <w:pPr>
        <w:ind w:left="6884" w:hanging="456"/>
      </w:pPr>
      <w:rPr>
        <w:rFonts w:hint="default"/>
        <w:lang w:val="en-US" w:eastAsia="en-US" w:bidi="ar-SA"/>
      </w:rPr>
    </w:lvl>
    <w:lvl w:ilvl="6" w:tplc="31725254">
      <w:numFmt w:val="bullet"/>
      <w:lvlText w:val="•"/>
      <w:lvlJc w:val="left"/>
      <w:pPr>
        <w:ind w:left="7955" w:hanging="456"/>
      </w:pPr>
      <w:rPr>
        <w:rFonts w:hint="default"/>
        <w:lang w:val="en-US" w:eastAsia="en-US" w:bidi="ar-SA"/>
      </w:rPr>
    </w:lvl>
    <w:lvl w:ilvl="7" w:tplc="C038DBD4">
      <w:numFmt w:val="bullet"/>
      <w:lvlText w:val="•"/>
      <w:lvlJc w:val="left"/>
      <w:pPr>
        <w:ind w:left="9026" w:hanging="456"/>
      </w:pPr>
      <w:rPr>
        <w:rFonts w:hint="default"/>
        <w:lang w:val="en-US" w:eastAsia="en-US" w:bidi="ar-SA"/>
      </w:rPr>
    </w:lvl>
    <w:lvl w:ilvl="8" w:tplc="EC18F07C">
      <w:numFmt w:val="bullet"/>
      <w:lvlText w:val="•"/>
      <w:lvlJc w:val="left"/>
      <w:pPr>
        <w:ind w:left="10097" w:hanging="456"/>
      </w:pPr>
      <w:rPr>
        <w:rFonts w:hint="default"/>
        <w:lang w:val="en-US" w:eastAsia="en-US" w:bidi="ar-SA"/>
      </w:rPr>
    </w:lvl>
  </w:abstractNum>
  <w:abstractNum w:abstractNumId="2" w15:restartNumberingAfterBreak="0">
    <w:nsid w:val="664B0B14"/>
    <w:multiLevelType w:val="hybridMultilevel"/>
    <w:tmpl w:val="55D66B0C"/>
    <w:lvl w:ilvl="0" w:tplc="4009000B">
      <w:start w:val="1"/>
      <w:numFmt w:val="bullet"/>
      <w:lvlText w:val=""/>
      <w:lvlJc w:val="left"/>
      <w:pPr>
        <w:ind w:left="360" w:hanging="360"/>
      </w:pPr>
      <w:rPr>
        <w:rFonts w:ascii="Wingdings" w:hAnsi="Wingdings" w:hint="default"/>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4"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 w:type="paragraph" w:styleId="BodyText">
    <w:name w:val="Body Text"/>
    <w:basedOn w:val="Normal"/>
    <w:link w:val="BodyTextChar"/>
    <w:uiPriority w:val="99"/>
    <w:semiHidden/>
    <w:unhideWhenUsed/>
    <w:pPr>
      <w:spacing w:after="120"/>
    </w:pPr>
    <w:rPr>
      <w:szCs w:val="18"/>
    </w:rPr>
  </w:style>
  <w:style w:type="character" w:customStyle="1" w:styleId="BodyTextChar">
    <w:name w:val="Body Text Char"/>
    <w:basedOn w:val="DefaultParagraphFont"/>
    <w:link w:val="BodyText"/>
    <w:uiPriority w:val="99"/>
    <w:semiHidden/>
    <w:rPr>
      <w:rFonts w:ascii="Times New Roman" w:eastAsia="Times New Roman" w:hAnsi="Times New Roman" w:cs="Mangal"/>
      <w:sz w:val="20"/>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44584-D487-45FE-9EE3-90AE4E912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9</Pages>
  <Words>4240</Words>
  <Characters>24174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125</cp:revision>
  <cp:lastPrinted>2021-09-27T06:11:00Z</cp:lastPrinted>
  <dcterms:created xsi:type="dcterms:W3CDTF">2020-01-13T08:38:00Z</dcterms:created>
  <dcterms:modified xsi:type="dcterms:W3CDTF">2021-09-28T04:22:00Z</dcterms:modified>
</cp:coreProperties>
</file>