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Fonts w:ascii="CIDFont+F2" w:eastAsiaTheme="minorHAnsi" w:hAnsi="CIDFont+F2" w:cs="CIDFont+F2"/>
          <w:b/>
          <w:bCs/>
          <w:color w:val="121212"/>
          <w:sz w:val="20"/>
          <w:szCs w:val="20"/>
          <w:highlight w:val="yellow"/>
          <w:lang w:val="en-IN" w:bidi="hi-IN"/>
        </w:rPr>
        <w:t>2023_BHEL_26864_1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  <w:bookmarkStart w:id="0" w:name="_GoBack"/>
      <w:bookmarkEnd w:id="0"/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E7933011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sz w:val="28"/>
                <w:szCs w:val="28"/>
                <w:lang w:val="en-IN"/>
              </w:rPr>
              <w:t>Procurement of</w:t>
            </w: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en-IN"/>
              </w:rPr>
              <w:t>Silicone Resin DC-840/</w:t>
            </w:r>
            <w:proofErr w:type="spellStart"/>
            <w:r>
              <w:rPr>
                <w:rFonts w:eastAsia="Times New Roman" w:cs="Calibri"/>
                <w:b/>
                <w:bCs/>
                <w:sz w:val="28"/>
                <w:szCs w:val="28"/>
                <w:lang w:val="en-IN"/>
              </w:rPr>
              <w:t>Dowsil</w:t>
            </w:r>
            <w:proofErr w:type="spellEnd"/>
            <w:r>
              <w:rPr>
                <w:rFonts w:eastAsia="Times New Roman" w:cs="Calibri"/>
                <w:b/>
                <w:bCs/>
                <w:sz w:val="28"/>
                <w:szCs w:val="28"/>
                <w:lang w:val="en-IN"/>
              </w:rPr>
              <w:t xml:space="preserve"> RSN-0840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630 Kgs.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NIL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28.07.2023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25CF-A450-4A57-9674-28E7B666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19</cp:revision>
  <cp:lastPrinted>2019-05-01T03:08:00Z</cp:lastPrinted>
  <dcterms:created xsi:type="dcterms:W3CDTF">2019-01-07T04:36:00Z</dcterms:created>
  <dcterms:modified xsi:type="dcterms:W3CDTF">2023-07-18T11:07:00Z</dcterms:modified>
</cp:coreProperties>
</file>