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  <w:bookmarkStart w:id="0" w:name="_GoBack"/>
      <w:bookmarkEnd w:id="0"/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ascii="Verdana" w:eastAsiaTheme="minorHAnsi" w:hAnsi="Verdana" w:cs="CIDFont+F2"/>
          <w:b/>
          <w:bCs/>
          <w:color w:val="121212"/>
          <w:highlight w:val="yellow"/>
          <w:lang w:val="en-IN" w:bidi="hi-IN"/>
        </w:rPr>
        <w:t>2023_BHEL_25285_1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652"/>
        <w:gridCol w:w="2841"/>
        <w:gridCol w:w="1242"/>
        <w:gridCol w:w="1396"/>
        <w:gridCol w:w="1956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E9733002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="Verdana" w:hAnsi="Verdana"/>
                <w:color w:val="002060"/>
                <w:shd w:val="clear" w:color="auto" w:fill="FFFFFF"/>
              </w:rPr>
              <w:t>SPARES FOR TOX PRESSOTECHNIK MAKE PNEUMO HYDROLIC CYLINDER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AS PER ATTACHED BOQ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NIL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20.06.2023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2094-FF3E-450B-AB11-90C76A79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16</cp:revision>
  <cp:lastPrinted>2019-05-01T03:08:00Z</cp:lastPrinted>
  <dcterms:created xsi:type="dcterms:W3CDTF">2019-01-07T04:36:00Z</dcterms:created>
  <dcterms:modified xsi:type="dcterms:W3CDTF">2023-05-31T05:07:00Z</dcterms:modified>
</cp:coreProperties>
</file>