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497" w:rsidRDefault="003C28D4" w:rsidP="0052232F">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52232F" w:rsidRPr="00D447D1" w:rsidRDefault="003C28D4" w:rsidP="0052232F">
      <w:pPr>
        <w:shd w:val="clear" w:color="auto" w:fill="FFFFFF"/>
        <w:jc w:val="center"/>
        <w:rPr>
          <w:rFonts w:ascii="Times New Roman" w:hAnsi="Times New Roman" w:cs="Times New Roman"/>
          <w:b/>
          <w:bCs/>
          <w:sz w:val="28"/>
          <w:szCs w:val="28"/>
          <w:u w:val="single"/>
        </w:rPr>
      </w:pPr>
      <w:r>
        <w:rPr>
          <w:rFonts w:ascii="Times New Roman" w:hAnsi="Times New Roman" w:cs="Times New Roman"/>
          <w:b/>
          <w:bCs/>
          <w:sz w:val="28"/>
          <w:szCs w:val="28"/>
        </w:rPr>
        <w:t xml:space="preserve"> </w:t>
      </w:r>
      <w:r w:rsidR="0052232F" w:rsidRPr="00D447D1">
        <w:rPr>
          <w:rFonts w:ascii="Times New Roman" w:hAnsi="Times New Roman" w:cs="Times New Roman"/>
          <w:b/>
          <w:bCs/>
          <w:sz w:val="28"/>
          <w:szCs w:val="28"/>
          <w:u w:val="single"/>
        </w:rPr>
        <w:t>ADDITIONAL TERMS &amp; CONDITIONS</w:t>
      </w:r>
    </w:p>
    <w:p w:rsidR="002E1AFA" w:rsidRPr="00E861DE" w:rsidRDefault="002E1AFA" w:rsidP="002E1AFA">
      <w:pPr>
        <w:autoSpaceDE w:val="0"/>
        <w:autoSpaceDN w:val="0"/>
        <w:adjustRightInd w:val="0"/>
        <w:spacing w:line="256" w:lineRule="auto"/>
        <w:jc w:val="both"/>
        <w:rPr>
          <w:rFonts w:ascii="Times New Roman" w:hAnsi="Times New Roman" w:cs="Times New Roman"/>
          <w:b/>
          <w:bCs/>
          <w:sz w:val="32"/>
          <w:szCs w:val="32"/>
        </w:rPr>
      </w:pPr>
      <w:r w:rsidRPr="00E861DE">
        <w:rPr>
          <w:rFonts w:ascii="Times New Roman" w:hAnsi="Times New Roman" w:cs="Times New Roman"/>
          <w:b/>
          <w:bCs/>
          <w:sz w:val="32"/>
          <w:szCs w:val="32"/>
          <w:u w:val="single"/>
        </w:rPr>
        <w:t>Commercial Term -</w:t>
      </w:r>
    </w:p>
    <w:p w:rsidR="002E1AFA" w:rsidRPr="00E570C8" w:rsidRDefault="002E1AFA" w:rsidP="002E1AFA">
      <w:pPr>
        <w:autoSpaceDE w:val="0"/>
        <w:autoSpaceDN w:val="0"/>
        <w:adjustRightInd w:val="0"/>
        <w:spacing w:after="0" w:line="240" w:lineRule="auto"/>
        <w:rPr>
          <w:rFonts w:ascii="Times New Roman" w:hAnsi="Times New Roman" w:cs="Times New Roman"/>
          <w:sz w:val="32"/>
          <w:szCs w:val="32"/>
        </w:rPr>
      </w:pPr>
      <w:r w:rsidRPr="00E570C8">
        <w:rPr>
          <w:rFonts w:ascii="Times New Roman" w:hAnsi="Times New Roman" w:cs="Times New Roman"/>
          <w:sz w:val="32"/>
          <w:szCs w:val="32"/>
        </w:rPr>
        <w:t>All the commercial term shall be as per General terms and co</w:t>
      </w:r>
      <w:r>
        <w:rPr>
          <w:rFonts w:ascii="Times New Roman" w:hAnsi="Times New Roman" w:cs="Times New Roman"/>
          <w:sz w:val="32"/>
          <w:szCs w:val="32"/>
        </w:rPr>
        <w:t>nditions on GeM 4.0 (Version 1.3</w:t>
      </w:r>
      <w:r w:rsidRPr="00E570C8">
        <w:rPr>
          <w:rFonts w:ascii="Times New Roman" w:hAnsi="Times New Roman" w:cs="Times New Roman"/>
          <w:sz w:val="32"/>
          <w:szCs w:val="32"/>
        </w:rPr>
        <w:t>).</w:t>
      </w:r>
    </w:p>
    <w:p w:rsidR="002E1AFA" w:rsidRPr="00E570C8" w:rsidRDefault="002E1AFA" w:rsidP="002E1AFA">
      <w:pPr>
        <w:pStyle w:val="ListParagraph"/>
        <w:autoSpaceDE w:val="0"/>
        <w:autoSpaceDN w:val="0"/>
        <w:adjustRightInd w:val="0"/>
        <w:jc w:val="both"/>
        <w:rPr>
          <w:rFonts w:ascii="Times New Roman" w:hAnsi="Times New Roman" w:cs="Times New Roman"/>
          <w:sz w:val="32"/>
          <w:szCs w:val="32"/>
        </w:rPr>
      </w:pPr>
    </w:p>
    <w:p w:rsidR="002E1AFA" w:rsidRDefault="00B325AD" w:rsidP="002E1AFA">
      <w:pPr>
        <w:pStyle w:val="NoSpacing"/>
        <w:jc w:val="both"/>
        <w:rPr>
          <w:rFonts w:cs="Times New Roman"/>
          <w:b/>
          <w:bCs/>
          <w:sz w:val="32"/>
          <w:szCs w:val="32"/>
          <w:u w:val="single"/>
          <w:lang w:eastAsia="en-US"/>
        </w:rPr>
      </w:pPr>
      <w:r>
        <w:rPr>
          <w:rFonts w:cs="Times New Roman"/>
          <w:b/>
          <w:bCs/>
          <w:sz w:val="32"/>
          <w:szCs w:val="32"/>
          <w:u w:val="single"/>
          <w:lang w:eastAsia="en-US"/>
        </w:rPr>
        <w:t>S</w:t>
      </w:r>
      <w:r w:rsidR="002E1AFA" w:rsidRPr="00B325AD">
        <w:rPr>
          <w:rFonts w:cs="Times New Roman"/>
          <w:b/>
          <w:bCs/>
          <w:sz w:val="32"/>
          <w:szCs w:val="32"/>
          <w:u w:val="single"/>
          <w:lang w:eastAsia="en-US"/>
        </w:rPr>
        <w:t>pecial conditions of enquiry:</w:t>
      </w:r>
    </w:p>
    <w:p w:rsidR="00084620" w:rsidRPr="00B325AD" w:rsidRDefault="00084620" w:rsidP="002E1AFA">
      <w:pPr>
        <w:pStyle w:val="NoSpacing"/>
        <w:jc w:val="both"/>
        <w:rPr>
          <w:rFonts w:cs="Times New Roman"/>
          <w:b/>
          <w:bCs/>
          <w:sz w:val="32"/>
          <w:szCs w:val="32"/>
          <w:u w:val="single"/>
          <w:lang w:eastAsia="en-US"/>
        </w:rPr>
      </w:pPr>
    </w:p>
    <w:p w:rsidR="000A7B10" w:rsidRPr="00AE3B71" w:rsidRDefault="000A7B10" w:rsidP="000A7B10">
      <w:pPr>
        <w:pStyle w:val="ListParagraph"/>
        <w:numPr>
          <w:ilvl w:val="0"/>
          <w:numId w:val="43"/>
        </w:numPr>
        <w:spacing w:after="0" w:line="240" w:lineRule="auto"/>
        <w:jc w:val="both"/>
        <w:rPr>
          <w:rFonts w:ascii="Georgia" w:hAnsi="Georgia"/>
          <w:szCs w:val="22"/>
        </w:rPr>
      </w:pPr>
      <w:r w:rsidRPr="00D47988">
        <w:rPr>
          <w:rFonts w:ascii="Georgia" w:hAnsi="Georgia" w:cstheme="minorHAnsi"/>
          <w:szCs w:val="22"/>
        </w:rPr>
        <w:t xml:space="preserve">Price bid shall be opened for only those bidders who qualifies </w:t>
      </w:r>
      <w:r w:rsidRPr="00AE3B71">
        <w:rPr>
          <w:rFonts w:ascii="Georgia" w:hAnsi="Georgia"/>
          <w:szCs w:val="22"/>
        </w:rPr>
        <w:t>Pre-Qualification Requirements</w:t>
      </w:r>
      <w:r w:rsidRPr="00D47988">
        <w:rPr>
          <w:rFonts w:ascii="Georgia" w:hAnsi="Georgia" w:cstheme="minorHAnsi"/>
          <w:szCs w:val="22"/>
        </w:rPr>
        <w:t xml:space="preserve"> </w:t>
      </w:r>
      <w:proofErr w:type="gramStart"/>
      <w:r w:rsidRPr="00D47988">
        <w:rPr>
          <w:rFonts w:ascii="Georgia" w:hAnsi="Georgia" w:cstheme="minorHAnsi"/>
          <w:szCs w:val="22"/>
        </w:rPr>
        <w:t>PQR</w:t>
      </w:r>
      <w:r>
        <w:rPr>
          <w:rFonts w:ascii="Georgia" w:hAnsi="Georgia" w:cstheme="minorHAnsi"/>
          <w:szCs w:val="22"/>
        </w:rPr>
        <w:t xml:space="preserve"> </w:t>
      </w:r>
      <w:r w:rsidRPr="00D47988">
        <w:rPr>
          <w:rFonts w:ascii="Georgia" w:hAnsi="Georgia" w:cstheme="minorHAnsi"/>
          <w:szCs w:val="22"/>
        </w:rPr>
        <w:t xml:space="preserve"> and</w:t>
      </w:r>
      <w:proofErr w:type="gramEnd"/>
      <w:r w:rsidRPr="00D47988">
        <w:rPr>
          <w:rFonts w:ascii="Georgia" w:hAnsi="Georgia" w:cstheme="minorHAnsi"/>
          <w:szCs w:val="22"/>
        </w:rPr>
        <w:t xml:space="preserve"> whose techno-commercial bid </w:t>
      </w:r>
      <w:r w:rsidRPr="00AE3B71">
        <w:rPr>
          <w:rFonts w:ascii="Georgia" w:hAnsi="Georgia"/>
          <w:szCs w:val="22"/>
        </w:rPr>
        <w:t>is acceptable to BHEL as per technical specifications.</w:t>
      </w:r>
    </w:p>
    <w:p w:rsidR="000A7B10" w:rsidRPr="00AE3B71" w:rsidRDefault="000A7B10" w:rsidP="000A7B10">
      <w:pPr>
        <w:numPr>
          <w:ilvl w:val="0"/>
          <w:numId w:val="43"/>
        </w:numPr>
        <w:spacing w:after="0" w:line="276" w:lineRule="auto"/>
        <w:jc w:val="both"/>
        <w:rPr>
          <w:rFonts w:ascii="Georgia" w:hAnsi="Georgia" w:cs="Mangal"/>
          <w:szCs w:val="22"/>
        </w:rPr>
      </w:pPr>
      <w:r w:rsidRPr="00AE3B71">
        <w:rPr>
          <w:rFonts w:ascii="Georgia" w:hAnsi="Georgia" w:cs="Mangal"/>
          <w:szCs w:val="22"/>
        </w:rPr>
        <w:t xml:space="preserve">Vendor to provide point-wise reply/confirmation along with relevant supporting documents to each and every point of </w:t>
      </w:r>
      <w:r>
        <w:rPr>
          <w:rFonts w:ascii="Georgia" w:hAnsi="Georgia" w:cs="Mangal"/>
          <w:szCs w:val="22"/>
        </w:rPr>
        <w:t>PQR</w:t>
      </w:r>
      <w:r w:rsidRPr="00AE3B71">
        <w:rPr>
          <w:rFonts w:ascii="Georgia" w:hAnsi="Georgia" w:cs="Mangal"/>
          <w:szCs w:val="22"/>
        </w:rPr>
        <w:t>, Requirement of BHEL &amp; Technical Specification for all enquiry items. Non-compliance of these may lead to rejection of offer as these are essential condition for participating in tender enquiry.</w:t>
      </w:r>
    </w:p>
    <w:p w:rsidR="000A7B10" w:rsidRDefault="000A7B10" w:rsidP="000A7B10">
      <w:pPr>
        <w:pStyle w:val="NoSpacing"/>
        <w:numPr>
          <w:ilvl w:val="0"/>
          <w:numId w:val="43"/>
        </w:numPr>
        <w:jc w:val="both"/>
        <w:rPr>
          <w:rFonts w:ascii="Georgia" w:hAnsi="Georgia"/>
          <w:sz w:val="22"/>
          <w:szCs w:val="22"/>
        </w:rPr>
      </w:pPr>
      <w:r w:rsidRPr="009C33AE">
        <w:rPr>
          <w:rFonts w:ascii="Georgia" w:hAnsi="Georgia"/>
          <w:sz w:val="22"/>
          <w:szCs w:val="22"/>
        </w:rPr>
        <w:t xml:space="preserve">Delivery is not sacrosanct. Vendor to quote best possible delivery in the offer. </w:t>
      </w:r>
      <w:r>
        <w:t xml:space="preserve">early delivery is </w:t>
      </w:r>
      <w:proofErr w:type="gramStart"/>
      <w:r>
        <w:t>acceptable .</w:t>
      </w:r>
      <w:proofErr w:type="gramEnd"/>
    </w:p>
    <w:p w:rsidR="000A7B10" w:rsidRPr="003D0762" w:rsidRDefault="000A7B10" w:rsidP="000A7B10">
      <w:pPr>
        <w:pStyle w:val="NoSpacing"/>
        <w:numPr>
          <w:ilvl w:val="0"/>
          <w:numId w:val="43"/>
        </w:numPr>
        <w:jc w:val="both"/>
        <w:rPr>
          <w:rFonts w:ascii="Georgia" w:hAnsi="Georgia"/>
          <w:sz w:val="22"/>
          <w:szCs w:val="22"/>
        </w:rPr>
      </w:pPr>
      <w:r>
        <w:t>At the time of supply of order, vendor to submit drawings of all cutters &amp; dimensional test reports of supplied profile finisher cutters (</w:t>
      </w:r>
      <w:proofErr w:type="gramStart"/>
      <w:r>
        <w:t>CODE:TLMW</w:t>
      </w:r>
      <w:proofErr w:type="gramEnd"/>
      <w:r>
        <w:t>62811169 )</w:t>
      </w:r>
    </w:p>
    <w:p w:rsidR="000A7B10" w:rsidRPr="003D0762" w:rsidRDefault="000A7B10" w:rsidP="000A7B10">
      <w:pPr>
        <w:pStyle w:val="NoSpacing"/>
        <w:numPr>
          <w:ilvl w:val="0"/>
          <w:numId w:val="43"/>
        </w:numPr>
        <w:jc w:val="both"/>
        <w:rPr>
          <w:rFonts w:ascii="Georgia" w:hAnsi="Georgia"/>
          <w:sz w:val="22"/>
          <w:szCs w:val="22"/>
        </w:rPr>
      </w:pPr>
      <w:r>
        <w:t xml:space="preserve">Further details/conditions/trial/payment etc. enclosed as per </w:t>
      </w:r>
      <w:proofErr w:type="spellStart"/>
      <w:proofErr w:type="gramStart"/>
      <w:r>
        <w:t>PQR,technical</w:t>
      </w:r>
      <w:proofErr w:type="spellEnd"/>
      <w:proofErr w:type="gramEnd"/>
      <w:r>
        <w:t xml:space="preserve"> annexures attached (Annex. 7A, 7B, </w:t>
      </w:r>
      <w:proofErr w:type="gramStart"/>
      <w:r>
        <w:t>Z )</w:t>
      </w:r>
      <w:proofErr w:type="gramEnd"/>
      <w:r>
        <w:t>. vendor to quote accordingly</w:t>
      </w:r>
    </w:p>
    <w:p w:rsidR="000A7B10" w:rsidRPr="003D0762" w:rsidRDefault="000A7B10" w:rsidP="000A7B10">
      <w:pPr>
        <w:pStyle w:val="NoSpacing"/>
        <w:numPr>
          <w:ilvl w:val="0"/>
          <w:numId w:val="43"/>
        </w:numPr>
        <w:jc w:val="both"/>
        <w:rPr>
          <w:rFonts w:ascii="Georgia" w:hAnsi="Georgia"/>
          <w:sz w:val="22"/>
          <w:szCs w:val="22"/>
        </w:rPr>
      </w:pPr>
      <w:r>
        <w:t xml:space="preserve">All items shall be procured from same vendor for </w:t>
      </w:r>
      <w:proofErr w:type="spellStart"/>
      <w:r>
        <w:t>comapatibilty</w:t>
      </w:r>
      <w:proofErr w:type="spellEnd"/>
      <w:r>
        <w:t xml:space="preserve"> reasons as a package</w:t>
      </w:r>
    </w:p>
    <w:p w:rsidR="000A7B10" w:rsidRPr="003D0762" w:rsidRDefault="000A7B10" w:rsidP="000A7B10">
      <w:pPr>
        <w:pStyle w:val="NoSpacing"/>
        <w:numPr>
          <w:ilvl w:val="0"/>
          <w:numId w:val="43"/>
        </w:numPr>
        <w:jc w:val="both"/>
        <w:rPr>
          <w:rFonts w:ascii="Georgia" w:hAnsi="Georgia"/>
          <w:sz w:val="22"/>
          <w:szCs w:val="22"/>
        </w:rPr>
      </w:pPr>
      <w:r>
        <w:t xml:space="preserve">SRV shall be accepted provisionally after successful trial as per conditions mentioned at point 8 a) &amp; 8 b) of Technical Annexure 7 A enclosed </w:t>
      </w:r>
    </w:p>
    <w:p w:rsidR="000A7B10" w:rsidRPr="003D0762" w:rsidRDefault="000A7B10" w:rsidP="000A7B10">
      <w:pPr>
        <w:pStyle w:val="NoSpacing"/>
        <w:numPr>
          <w:ilvl w:val="0"/>
          <w:numId w:val="43"/>
        </w:numPr>
        <w:jc w:val="both"/>
        <w:rPr>
          <w:rFonts w:ascii="Georgia" w:hAnsi="Georgia"/>
          <w:sz w:val="22"/>
          <w:szCs w:val="22"/>
        </w:rPr>
      </w:pPr>
      <w:r>
        <w:t>Payment terms as per Annex-7B (</w:t>
      </w:r>
      <w:proofErr w:type="spellStart"/>
      <w:r>
        <w:t>encl</w:t>
      </w:r>
      <w:proofErr w:type="spellEnd"/>
      <w:r>
        <w:t>)</w:t>
      </w:r>
    </w:p>
    <w:p w:rsidR="000A7B10" w:rsidRDefault="000A7B10" w:rsidP="000A7B10">
      <w:pPr>
        <w:pStyle w:val="NoSpacing"/>
        <w:ind w:left="720"/>
        <w:jc w:val="both"/>
      </w:pPr>
      <w:r>
        <w:t xml:space="preserve">- The 50% of final payment of supplied cutters shall be done after successful acceptance as per acceptance criteria mentioned at point 8a) &amp; 8b) of Technical Annexure 7A enclosed after SRV acceptance </w:t>
      </w:r>
    </w:p>
    <w:p w:rsidR="000A7B10" w:rsidRDefault="000A7B10" w:rsidP="000A7B10">
      <w:pPr>
        <w:pStyle w:val="NoSpacing"/>
        <w:ind w:left="720"/>
        <w:jc w:val="both"/>
      </w:pPr>
      <w:r>
        <w:t>Rest 50% of final payment of supplied cutters shall be done after meeting criteria mentioned at 8c) of Technical Annexure 7A which mentions that vendor shall establish re-sharpening of supplied cutters as per other conditions mentioned in point 8.3 of Technical Annexure 7A enclosed.</w:t>
      </w:r>
    </w:p>
    <w:p w:rsidR="000A7B10" w:rsidRDefault="000A7B10" w:rsidP="000A7B10">
      <w:pPr>
        <w:pStyle w:val="NoSpacing"/>
        <w:numPr>
          <w:ilvl w:val="0"/>
          <w:numId w:val="43"/>
        </w:numPr>
        <w:jc w:val="both"/>
        <w:rPr>
          <w:rFonts w:ascii="Georgia" w:hAnsi="Georgia"/>
          <w:sz w:val="22"/>
          <w:szCs w:val="22"/>
        </w:rPr>
      </w:pPr>
      <w:r>
        <w:t>DETAILS OF EXISTING ANCA RE-SHARPENING M/C ENCLOSED AT ANNEXURE-Z.</w:t>
      </w:r>
    </w:p>
    <w:p w:rsidR="000A7B10" w:rsidRDefault="000A7B10" w:rsidP="000A7B10">
      <w:pPr>
        <w:pStyle w:val="NoSpacing"/>
        <w:numPr>
          <w:ilvl w:val="0"/>
          <w:numId w:val="43"/>
        </w:numPr>
        <w:jc w:val="both"/>
        <w:rPr>
          <w:sz w:val="22"/>
          <w:szCs w:val="22"/>
        </w:rPr>
      </w:pPr>
      <w:r>
        <w:rPr>
          <w:sz w:val="22"/>
          <w:szCs w:val="22"/>
        </w:rPr>
        <w:t xml:space="preserve">EMD shall not be applicable as per purchase policy </w:t>
      </w:r>
      <w:proofErr w:type="gramStart"/>
      <w:r>
        <w:rPr>
          <w:sz w:val="22"/>
          <w:szCs w:val="22"/>
        </w:rPr>
        <w:t>amendment  4</w:t>
      </w:r>
      <w:proofErr w:type="gramEnd"/>
      <w:r>
        <w:rPr>
          <w:sz w:val="22"/>
          <w:szCs w:val="22"/>
        </w:rPr>
        <w:t xml:space="preserve"> </w:t>
      </w:r>
    </w:p>
    <w:p w:rsidR="000A7B10" w:rsidRDefault="000A7B10" w:rsidP="000A7B10">
      <w:pPr>
        <w:pStyle w:val="ListParagraph"/>
        <w:numPr>
          <w:ilvl w:val="0"/>
          <w:numId w:val="43"/>
        </w:numPr>
        <w:spacing w:after="0" w:line="276" w:lineRule="auto"/>
        <w:jc w:val="both"/>
        <w:rPr>
          <w:rFonts w:ascii="Georgia" w:hAnsi="Georgia"/>
          <w:szCs w:val="22"/>
        </w:rPr>
      </w:pPr>
      <w:r w:rsidRPr="00AE3B71">
        <w:rPr>
          <w:rFonts w:ascii="Georgia" w:hAnsi="Georgia"/>
          <w:szCs w:val="22"/>
        </w:rPr>
        <w:t>As per Make in India circular dt 04.06.2020, Purchase preference to class I supplier shall be given as per clause 3A (b).</w:t>
      </w:r>
    </w:p>
    <w:p w:rsidR="000A7B10" w:rsidRPr="00BF4BDE" w:rsidRDefault="000A7B10" w:rsidP="000A7B10">
      <w:pPr>
        <w:pStyle w:val="ListParagraph"/>
        <w:numPr>
          <w:ilvl w:val="0"/>
          <w:numId w:val="43"/>
        </w:numPr>
        <w:spacing w:after="0" w:line="276" w:lineRule="auto"/>
        <w:jc w:val="both"/>
        <w:rPr>
          <w:rFonts w:ascii="Georgia" w:hAnsi="Georgia"/>
          <w:szCs w:val="22"/>
        </w:rPr>
      </w:pPr>
      <w:r w:rsidRPr="00BF4BDE">
        <w:rPr>
          <w:rFonts w:ascii="Georgia" w:hAnsi="Georgia"/>
          <w:szCs w:val="22"/>
        </w:rPr>
        <w:t>Quantity splitting to MSE vendor is applicable.</w:t>
      </w:r>
    </w:p>
    <w:p w:rsidR="000A7B10" w:rsidRDefault="000A7B10" w:rsidP="000A7B10">
      <w:pPr>
        <w:pStyle w:val="ListParagraph"/>
        <w:numPr>
          <w:ilvl w:val="0"/>
          <w:numId w:val="43"/>
        </w:numPr>
        <w:spacing w:after="0" w:line="240" w:lineRule="auto"/>
        <w:jc w:val="both"/>
        <w:rPr>
          <w:rFonts w:ascii="Georgia" w:hAnsi="Georgia"/>
          <w:szCs w:val="22"/>
        </w:rPr>
      </w:pPr>
      <w:r w:rsidRPr="00C22421">
        <w:rPr>
          <w:rFonts w:ascii="Georgia" w:hAnsi="Georgia"/>
          <w:szCs w:val="22"/>
        </w:rPr>
        <w:t xml:space="preserve">Liquidated Damages (LD) for Late Deliveries shall be applicable @0.5% per week or part thereof on the package value subject to maximum of 10% of the package value. If vendor do not mention anything about LD clause in their offer, then it shall be presumed to be acceptable. No further clarification shall be asked in this regard after opening of techno-commercial bid part-1.  </w:t>
      </w:r>
    </w:p>
    <w:p w:rsidR="000A7B10" w:rsidRDefault="000A7B10" w:rsidP="000A7B10">
      <w:pPr>
        <w:pStyle w:val="ListParagraph"/>
        <w:jc w:val="both"/>
        <w:rPr>
          <w:rFonts w:ascii="Georgia" w:hAnsi="Georgia"/>
          <w:szCs w:val="22"/>
        </w:rPr>
      </w:pPr>
    </w:p>
    <w:p w:rsidR="000A7B10" w:rsidRPr="00BA38AD" w:rsidRDefault="000A7B10" w:rsidP="000A7B10">
      <w:pPr>
        <w:pStyle w:val="NoSpacing"/>
        <w:numPr>
          <w:ilvl w:val="0"/>
          <w:numId w:val="43"/>
        </w:numPr>
        <w:jc w:val="both"/>
        <w:rPr>
          <w:rFonts w:ascii="Georgia" w:hAnsi="Georgia" w:cstheme="minorHAnsi"/>
          <w:i/>
          <w:iCs/>
          <w:sz w:val="20"/>
          <w:szCs w:val="20"/>
        </w:rPr>
      </w:pPr>
      <w:r w:rsidRPr="00CF6FB7">
        <w:rPr>
          <w:rFonts w:ascii="Georgia" w:hAnsi="Georgia" w:cstheme="minorHAnsi"/>
          <w:sz w:val="20"/>
          <w:szCs w:val="20"/>
        </w:rPr>
        <w:t>Payment terms shall be as per followings:</w:t>
      </w:r>
    </w:p>
    <w:p w:rsidR="000A7B10" w:rsidRPr="00AE3B71" w:rsidRDefault="000A7B10" w:rsidP="000A7B10">
      <w:pPr>
        <w:pStyle w:val="ListParagraph"/>
        <w:spacing w:line="276" w:lineRule="auto"/>
        <w:jc w:val="both"/>
        <w:rPr>
          <w:rFonts w:ascii="Georgia" w:hAnsi="Georgia"/>
          <w:szCs w:val="22"/>
        </w:rPr>
      </w:pPr>
    </w:p>
    <w:p w:rsidR="000A7B10" w:rsidRPr="00D47988" w:rsidRDefault="000A7B10" w:rsidP="000A7B10">
      <w:pPr>
        <w:spacing w:line="276" w:lineRule="auto"/>
        <w:ind w:left="709"/>
        <w:jc w:val="both"/>
        <w:rPr>
          <w:rFonts w:ascii="Georgia" w:hAnsi="Georgia" w:cstheme="minorHAnsi"/>
          <w:i/>
          <w:iCs/>
          <w:szCs w:val="22"/>
        </w:rPr>
      </w:pPr>
      <w:r w:rsidRPr="00D47988">
        <w:rPr>
          <w:rFonts w:ascii="Georgia" w:hAnsi="Georgia" w:cstheme="minorHAnsi"/>
          <w:b/>
          <w:bCs/>
          <w:i/>
          <w:iCs/>
          <w:szCs w:val="22"/>
        </w:rPr>
        <w:t xml:space="preserve"> “For Non MSEs bidder</w:t>
      </w:r>
      <w:r w:rsidRPr="00D47988">
        <w:rPr>
          <w:rFonts w:ascii="Georgia" w:hAnsi="Georgia" w:cstheme="minorHAnsi"/>
          <w:i/>
          <w:iCs/>
          <w:szCs w:val="22"/>
        </w:rPr>
        <w:t xml:space="preserve">: </w:t>
      </w:r>
    </w:p>
    <w:p w:rsidR="000A7B10" w:rsidRDefault="000A7B10" w:rsidP="000A7B10">
      <w:pPr>
        <w:spacing w:line="276" w:lineRule="auto"/>
        <w:ind w:left="709"/>
        <w:jc w:val="both"/>
        <w:rPr>
          <w:rFonts w:ascii="Georgia" w:hAnsi="Georgia" w:cstheme="minorHAnsi"/>
          <w:i/>
          <w:iCs/>
          <w:szCs w:val="22"/>
        </w:rPr>
      </w:pPr>
      <w:r w:rsidRPr="00D47988">
        <w:rPr>
          <w:rFonts w:ascii="Georgia" w:hAnsi="Georgia" w:cstheme="minorHAnsi"/>
          <w:i/>
          <w:iCs/>
          <w:szCs w:val="22"/>
        </w:rPr>
        <w:t>100% payment along with taxes, freight &amp; insurance will be made after receipt and acceptance of material and within 90 days from the date of invoice subject to submission of non-discrepant documents within 15 days of supply as per terms and conditions of Purchase Order.</w:t>
      </w:r>
    </w:p>
    <w:p w:rsidR="000A7B10" w:rsidRDefault="000A7B10" w:rsidP="000A7B10">
      <w:pPr>
        <w:spacing w:line="276" w:lineRule="auto"/>
        <w:ind w:left="709"/>
        <w:jc w:val="both"/>
        <w:rPr>
          <w:rFonts w:ascii="Georgia" w:hAnsi="Georgia" w:cstheme="minorHAnsi"/>
          <w:i/>
          <w:iCs/>
          <w:szCs w:val="22"/>
        </w:rPr>
      </w:pPr>
    </w:p>
    <w:p w:rsidR="000A7B10" w:rsidRDefault="000A7B10" w:rsidP="000A7B10">
      <w:pPr>
        <w:spacing w:line="276" w:lineRule="auto"/>
        <w:ind w:left="709"/>
        <w:jc w:val="both"/>
        <w:rPr>
          <w:rFonts w:ascii="Georgia" w:hAnsi="Georgia" w:cstheme="minorHAnsi"/>
          <w:i/>
          <w:iCs/>
          <w:szCs w:val="22"/>
        </w:rPr>
      </w:pPr>
    </w:p>
    <w:p w:rsidR="000A7B10" w:rsidRDefault="000A7B10" w:rsidP="000A7B10">
      <w:pPr>
        <w:spacing w:line="276" w:lineRule="auto"/>
        <w:ind w:left="709"/>
        <w:jc w:val="both"/>
        <w:rPr>
          <w:rFonts w:ascii="Georgia" w:hAnsi="Georgia" w:cstheme="minorHAnsi"/>
          <w:i/>
          <w:iCs/>
          <w:szCs w:val="22"/>
        </w:rPr>
      </w:pPr>
    </w:p>
    <w:p w:rsidR="000A7B10" w:rsidRPr="00D47988" w:rsidRDefault="000A7B10" w:rsidP="000A7B10">
      <w:pPr>
        <w:spacing w:line="276" w:lineRule="auto"/>
        <w:ind w:left="709"/>
        <w:jc w:val="both"/>
        <w:rPr>
          <w:rFonts w:ascii="Georgia" w:hAnsi="Georgia" w:cstheme="minorHAnsi"/>
          <w:i/>
          <w:iCs/>
          <w:szCs w:val="22"/>
        </w:rPr>
      </w:pPr>
    </w:p>
    <w:p w:rsidR="000A7B10" w:rsidRDefault="000A7B10" w:rsidP="000A7B10">
      <w:pPr>
        <w:spacing w:line="276" w:lineRule="auto"/>
        <w:ind w:left="709"/>
        <w:jc w:val="both"/>
        <w:rPr>
          <w:rFonts w:ascii="Georgia" w:hAnsi="Georgia" w:cstheme="minorHAnsi"/>
          <w:i/>
          <w:iCs/>
          <w:szCs w:val="22"/>
        </w:rPr>
      </w:pPr>
    </w:p>
    <w:p w:rsidR="000A7B10" w:rsidRPr="00D47988" w:rsidRDefault="000A7B10" w:rsidP="000A7B10">
      <w:pPr>
        <w:spacing w:line="276" w:lineRule="auto"/>
        <w:ind w:left="709"/>
        <w:jc w:val="both"/>
        <w:rPr>
          <w:rFonts w:ascii="Georgia" w:hAnsi="Georgia" w:cstheme="minorHAnsi"/>
          <w:i/>
          <w:iCs/>
          <w:szCs w:val="22"/>
        </w:rPr>
      </w:pPr>
      <w:r w:rsidRPr="00D47988">
        <w:rPr>
          <w:rFonts w:ascii="Georgia" w:hAnsi="Georgia" w:cstheme="minorHAnsi"/>
          <w:b/>
          <w:bCs/>
          <w:i/>
          <w:iCs/>
          <w:szCs w:val="22"/>
        </w:rPr>
        <w:t>For Medium Enterprises bidder</w:t>
      </w:r>
      <w:r w:rsidRPr="00D47988">
        <w:rPr>
          <w:rFonts w:ascii="Georgia" w:hAnsi="Georgia" w:cstheme="minorHAnsi"/>
          <w:i/>
          <w:iCs/>
          <w:szCs w:val="22"/>
        </w:rPr>
        <w:t xml:space="preserve">: </w:t>
      </w:r>
    </w:p>
    <w:p w:rsidR="000A7B10" w:rsidRPr="00D47988" w:rsidRDefault="000A7B10" w:rsidP="000A7B10">
      <w:pPr>
        <w:spacing w:line="276" w:lineRule="auto"/>
        <w:ind w:left="709"/>
        <w:jc w:val="both"/>
        <w:rPr>
          <w:rFonts w:ascii="Georgia" w:hAnsi="Georgia" w:cstheme="minorHAnsi"/>
          <w:i/>
          <w:iCs/>
          <w:szCs w:val="22"/>
        </w:rPr>
      </w:pPr>
      <w:r w:rsidRPr="00D47988">
        <w:rPr>
          <w:rFonts w:ascii="Georgia" w:hAnsi="Georgia" w:cstheme="minorHAnsi"/>
          <w:i/>
          <w:iCs/>
          <w:szCs w:val="22"/>
        </w:rPr>
        <w:t>100% payment along with taxes, freight &amp; insurance will be made after receipt and acceptance of material and within 60 days from the date of invoice subject to submission of non-discrepant documents within 15 days of supply as per terms and conditions of Purchase Order.</w:t>
      </w:r>
    </w:p>
    <w:p w:rsidR="000A7B10" w:rsidRPr="00D47988" w:rsidRDefault="000A7B10" w:rsidP="000A7B10">
      <w:pPr>
        <w:spacing w:line="276" w:lineRule="auto"/>
        <w:ind w:left="709"/>
        <w:jc w:val="both"/>
        <w:rPr>
          <w:rFonts w:ascii="Georgia" w:hAnsi="Georgia" w:cstheme="minorHAnsi"/>
          <w:b/>
          <w:bCs/>
          <w:i/>
          <w:iCs/>
          <w:szCs w:val="22"/>
        </w:rPr>
      </w:pPr>
    </w:p>
    <w:p w:rsidR="000A7B10" w:rsidRPr="00D47988" w:rsidRDefault="000A7B10" w:rsidP="000A7B10">
      <w:pPr>
        <w:spacing w:line="276" w:lineRule="auto"/>
        <w:ind w:left="709"/>
        <w:jc w:val="both"/>
        <w:rPr>
          <w:rFonts w:ascii="Georgia" w:hAnsi="Georgia" w:cstheme="minorHAnsi"/>
          <w:b/>
          <w:bCs/>
          <w:i/>
          <w:iCs/>
          <w:szCs w:val="22"/>
        </w:rPr>
      </w:pPr>
      <w:r w:rsidRPr="00D47988">
        <w:rPr>
          <w:rFonts w:ascii="Georgia" w:hAnsi="Georgia" w:cstheme="minorHAnsi"/>
          <w:b/>
          <w:bCs/>
          <w:i/>
          <w:iCs/>
          <w:szCs w:val="22"/>
        </w:rPr>
        <w:t xml:space="preserve">For MSEs bidder: </w:t>
      </w:r>
    </w:p>
    <w:p w:rsidR="000A7B10" w:rsidRPr="00D47988" w:rsidRDefault="000A7B10" w:rsidP="000A7B10">
      <w:pPr>
        <w:spacing w:line="276" w:lineRule="auto"/>
        <w:ind w:left="709"/>
        <w:jc w:val="both"/>
        <w:rPr>
          <w:rFonts w:ascii="Georgia" w:hAnsi="Georgia" w:cstheme="minorHAnsi"/>
          <w:i/>
          <w:iCs/>
          <w:szCs w:val="22"/>
        </w:rPr>
      </w:pPr>
      <w:r w:rsidRPr="00D47988">
        <w:rPr>
          <w:rFonts w:ascii="Georgia" w:hAnsi="Georgia" w:cstheme="minorHAnsi"/>
          <w:i/>
          <w:iCs/>
          <w:szCs w:val="22"/>
        </w:rPr>
        <w:t xml:space="preserve">For MSEs (covered under MSME Act) which are registered and periodically renewed with BHEL, the payment will be made within 45 days or as prescribed in the relevant act. </w:t>
      </w:r>
    </w:p>
    <w:p w:rsidR="000A7B10" w:rsidRDefault="000A7B10" w:rsidP="000A7B10">
      <w:pPr>
        <w:spacing w:line="276" w:lineRule="auto"/>
        <w:ind w:left="709"/>
        <w:jc w:val="both"/>
        <w:rPr>
          <w:rFonts w:ascii="Georgia" w:hAnsi="Georgia" w:cstheme="minorHAnsi"/>
          <w:i/>
          <w:iCs/>
          <w:szCs w:val="22"/>
        </w:rPr>
      </w:pPr>
    </w:p>
    <w:p w:rsidR="000A7B10" w:rsidRDefault="000A7B10" w:rsidP="000A7B10">
      <w:pPr>
        <w:spacing w:line="276" w:lineRule="auto"/>
        <w:ind w:left="709"/>
        <w:jc w:val="both"/>
        <w:rPr>
          <w:rFonts w:ascii="Georgia" w:hAnsi="Georgia" w:cstheme="minorHAnsi"/>
          <w:i/>
          <w:iCs/>
          <w:szCs w:val="22"/>
        </w:rPr>
      </w:pPr>
      <w:r w:rsidRPr="00D47988">
        <w:rPr>
          <w:rFonts w:ascii="Georgia" w:hAnsi="Georgia" w:cstheme="minorHAnsi"/>
          <w:i/>
          <w:iCs/>
          <w:szCs w:val="22"/>
        </w:rPr>
        <w:t>Benefits of MSE (such as EMD Waiver, Tender fee exemption, Price preference, Payment preference etc.) will be given only to those MSE Vendors who are manufacturers of offered items against the NIT. No MSE benefits shall be provided to Agents / Stockists / Dealers / Traders etc. for the items offered but not manufactured by themselves.”</w:t>
      </w:r>
    </w:p>
    <w:p w:rsidR="000A7B10" w:rsidRDefault="000A7B10" w:rsidP="000A7B10">
      <w:pPr>
        <w:spacing w:line="276" w:lineRule="auto"/>
        <w:ind w:left="709"/>
        <w:jc w:val="both"/>
        <w:rPr>
          <w:rFonts w:ascii="Georgia" w:hAnsi="Georgia" w:cstheme="minorHAnsi"/>
          <w:i/>
          <w:iCs/>
          <w:szCs w:val="22"/>
        </w:rPr>
      </w:pPr>
    </w:p>
    <w:p w:rsidR="000A7B10" w:rsidRPr="001339BF" w:rsidRDefault="000A7B10" w:rsidP="000A7B10">
      <w:pPr>
        <w:pStyle w:val="ListParagraph"/>
        <w:numPr>
          <w:ilvl w:val="0"/>
          <w:numId w:val="43"/>
        </w:numPr>
        <w:spacing w:after="0" w:line="240" w:lineRule="auto"/>
        <w:jc w:val="both"/>
        <w:rPr>
          <w:rFonts w:ascii="Arial" w:hAnsi="Arial" w:cs="Arial"/>
          <w:b/>
          <w:bCs/>
          <w:szCs w:val="22"/>
        </w:rPr>
      </w:pPr>
      <w:r w:rsidRPr="001339BF">
        <w:rPr>
          <w:rFonts w:ascii="Georgia" w:hAnsi="Georgia" w:cstheme="minorHAnsi"/>
          <w:b/>
          <w:bCs/>
          <w:i/>
          <w:iCs/>
          <w:sz w:val="20"/>
        </w:rPr>
        <w:t>Risk Purchase:</w:t>
      </w:r>
    </w:p>
    <w:p w:rsidR="000A7B10" w:rsidRDefault="000A7B10" w:rsidP="000A7B10">
      <w:pPr>
        <w:pStyle w:val="ListParagraph"/>
        <w:jc w:val="both"/>
        <w:rPr>
          <w:rFonts w:ascii="Georgia" w:hAnsi="Georgia"/>
          <w:sz w:val="20"/>
        </w:rPr>
      </w:pPr>
      <w:r w:rsidRPr="00861EAC">
        <w:rPr>
          <w:rFonts w:ascii="Georgia" w:hAnsi="Georgia"/>
          <w:sz w:val="20"/>
        </w:rPr>
        <w:t>In case of abnormal delays (beyond the maximum late delivery period as per LD clause) in supplies / defective supplies or non-</w:t>
      </w:r>
      <w:proofErr w:type="spellStart"/>
      <w:r w:rsidRPr="00861EAC">
        <w:rPr>
          <w:rFonts w:ascii="Georgia" w:hAnsi="Georgia"/>
          <w:sz w:val="20"/>
        </w:rPr>
        <w:t>fulfillment</w:t>
      </w:r>
      <w:proofErr w:type="spellEnd"/>
      <w:r w:rsidRPr="00861EAC">
        <w:rPr>
          <w:rFonts w:ascii="Georgia" w:hAnsi="Georgia"/>
          <w:sz w:val="20"/>
        </w:rPr>
        <w:t xml:space="preserve"> of any other terms and conditions given in Purchase Order, BHEL may cancel the Purchase Order in full or part thereof, and may also make the purchase of such material from elsewhere / alternative source at the risk and cost of the supplier. </w:t>
      </w:r>
      <w:r w:rsidRPr="003E4F1D">
        <w:rPr>
          <w:rFonts w:ascii="Georgia" w:hAnsi="Georgia"/>
          <w:sz w:val="20"/>
        </w:rPr>
        <w:t xml:space="preserve">BHEL will take all reasonable steps to get </w:t>
      </w:r>
    </w:p>
    <w:p w:rsidR="000A7B10" w:rsidRDefault="000A7B10" w:rsidP="000A7B10">
      <w:pPr>
        <w:jc w:val="both"/>
        <w:rPr>
          <w:rFonts w:ascii="Georgia" w:hAnsi="Georgia"/>
          <w:sz w:val="20"/>
        </w:rPr>
      </w:pPr>
      <w:r>
        <w:rPr>
          <w:rFonts w:ascii="Georgia" w:hAnsi="Georgia" w:cs="Mangal"/>
          <w:sz w:val="20"/>
        </w:rPr>
        <w:t xml:space="preserve">               </w:t>
      </w:r>
      <w:r w:rsidRPr="001339BF">
        <w:rPr>
          <w:rFonts w:ascii="Georgia" w:hAnsi="Georgia"/>
          <w:sz w:val="20"/>
        </w:rPr>
        <w:t xml:space="preserve">the material from alternate source at optimum cost. If bidder does not agree to the above Risk Purchase </w:t>
      </w:r>
      <w:r>
        <w:rPr>
          <w:rFonts w:ascii="Georgia" w:hAnsi="Georgia"/>
          <w:sz w:val="20"/>
        </w:rPr>
        <w:t xml:space="preserve"> </w:t>
      </w:r>
    </w:p>
    <w:p w:rsidR="000A7B10" w:rsidRDefault="000A7B10" w:rsidP="000A7B10">
      <w:pPr>
        <w:jc w:val="both"/>
        <w:rPr>
          <w:rFonts w:ascii="Georgia" w:hAnsi="Georgia"/>
          <w:sz w:val="20"/>
        </w:rPr>
      </w:pPr>
      <w:r>
        <w:rPr>
          <w:rFonts w:ascii="Georgia" w:hAnsi="Georgia"/>
          <w:sz w:val="20"/>
        </w:rPr>
        <w:t xml:space="preserve">              </w:t>
      </w:r>
      <w:r w:rsidRPr="001339BF">
        <w:rPr>
          <w:rFonts w:ascii="Georgia" w:hAnsi="Georgia"/>
          <w:sz w:val="20"/>
        </w:rPr>
        <w:t xml:space="preserve">Clause, BHEL reserves the right to reject the offer. In case for compelling reasons BHEL accepts the offer </w:t>
      </w:r>
    </w:p>
    <w:p w:rsidR="000A7B10" w:rsidRPr="001339BF" w:rsidRDefault="000A7B10" w:rsidP="000A7B10">
      <w:pPr>
        <w:jc w:val="both"/>
        <w:rPr>
          <w:rFonts w:ascii="Georgia" w:hAnsi="Georgia"/>
          <w:sz w:val="20"/>
        </w:rPr>
      </w:pPr>
      <w:r>
        <w:rPr>
          <w:rFonts w:ascii="Georgia" w:hAnsi="Georgia"/>
          <w:sz w:val="20"/>
        </w:rPr>
        <w:t xml:space="preserve">               </w:t>
      </w:r>
      <w:r w:rsidRPr="001339BF">
        <w:rPr>
          <w:rFonts w:ascii="Georgia" w:hAnsi="Georgia"/>
          <w:sz w:val="20"/>
        </w:rPr>
        <w:t xml:space="preserve">without acceptance of this clause by the bidder and in the eventuality of Risk Purchase, appropriate action </w:t>
      </w:r>
    </w:p>
    <w:p w:rsidR="000A7B10" w:rsidRDefault="000A7B10" w:rsidP="000A7B10">
      <w:pPr>
        <w:jc w:val="both"/>
        <w:rPr>
          <w:rFonts w:ascii="Georgia" w:hAnsi="Georgia"/>
          <w:sz w:val="20"/>
        </w:rPr>
      </w:pPr>
      <w:r>
        <w:rPr>
          <w:rFonts w:ascii="Georgia" w:hAnsi="Georgia" w:cs="Mangal"/>
          <w:sz w:val="20"/>
        </w:rPr>
        <w:t xml:space="preserve">              </w:t>
      </w:r>
      <w:r w:rsidRPr="00B32862">
        <w:rPr>
          <w:rFonts w:ascii="Georgia" w:hAnsi="Georgia"/>
          <w:sz w:val="20"/>
        </w:rPr>
        <w:t xml:space="preserve">will be taken as per BHEL extant rules. This will be without prejudice to any other right of BHEL under the </w:t>
      </w:r>
    </w:p>
    <w:p w:rsidR="000A7B10" w:rsidRDefault="000A7B10" w:rsidP="000A7B10">
      <w:pPr>
        <w:jc w:val="both"/>
        <w:rPr>
          <w:rFonts w:ascii="Georgia" w:hAnsi="Georgia"/>
          <w:sz w:val="20"/>
        </w:rPr>
      </w:pPr>
      <w:r>
        <w:rPr>
          <w:rFonts w:ascii="Georgia" w:hAnsi="Georgia"/>
          <w:sz w:val="20"/>
        </w:rPr>
        <w:t xml:space="preserve">              </w:t>
      </w:r>
      <w:r w:rsidRPr="00B32862">
        <w:rPr>
          <w:rFonts w:ascii="Georgia" w:hAnsi="Georgia"/>
          <w:sz w:val="20"/>
        </w:rPr>
        <w:t>contract or under General Law</w:t>
      </w:r>
    </w:p>
    <w:p w:rsidR="000A7B10" w:rsidRDefault="000A7B10" w:rsidP="000A7B10">
      <w:pPr>
        <w:jc w:val="both"/>
        <w:rPr>
          <w:rFonts w:ascii="Georgia" w:hAnsi="Georgia"/>
          <w:sz w:val="20"/>
        </w:rPr>
      </w:pPr>
    </w:p>
    <w:p w:rsidR="000A7B10" w:rsidRPr="003843DE" w:rsidRDefault="000A7B10" w:rsidP="000A7B10">
      <w:pPr>
        <w:pStyle w:val="ListParagraph"/>
        <w:numPr>
          <w:ilvl w:val="0"/>
          <w:numId w:val="43"/>
        </w:numPr>
        <w:spacing w:after="0" w:line="240" w:lineRule="auto"/>
        <w:jc w:val="both"/>
        <w:rPr>
          <w:rFonts w:ascii="Georgia" w:hAnsi="Georgia" w:cstheme="minorHAnsi"/>
          <w:b/>
          <w:bCs/>
          <w:i/>
          <w:iCs/>
          <w:sz w:val="20"/>
        </w:rPr>
      </w:pPr>
      <w:r w:rsidRPr="00861EAC">
        <w:rPr>
          <w:rFonts w:ascii="Georgia" w:hAnsi="Georgia" w:cstheme="minorHAnsi"/>
          <w:b/>
          <w:bCs/>
          <w:i/>
          <w:iCs/>
          <w:sz w:val="20"/>
        </w:rPr>
        <w:t>Action against Bidders / vendor / supplier / contractor in case of default</w:t>
      </w:r>
      <w:r w:rsidRPr="00861EAC">
        <w:rPr>
          <w:sz w:val="20"/>
        </w:rPr>
        <w:t>:</w:t>
      </w:r>
    </w:p>
    <w:p w:rsidR="000A7B10" w:rsidRPr="00861EAC" w:rsidRDefault="000A7B10" w:rsidP="000A7B10">
      <w:pPr>
        <w:pStyle w:val="ListParagraph"/>
        <w:jc w:val="both"/>
        <w:rPr>
          <w:rFonts w:ascii="Georgia" w:hAnsi="Georgia" w:cstheme="minorHAnsi"/>
          <w:b/>
          <w:bCs/>
          <w:i/>
          <w:iCs/>
          <w:sz w:val="20"/>
        </w:rPr>
      </w:pPr>
      <w:r w:rsidRPr="00861EAC">
        <w:rPr>
          <w:sz w:val="20"/>
        </w:rPr>
        <w:t xml:space="preserve"> </w:t>
      </w:r>
      <w:r w:rsidRPr="00861EAC">
        <w:rPr>
          <w:rFonts w:ascii="Georgia" w:hAnsi="Georgia"/>
          <w:sz w:val="20"/>
        </w:rPr>
        <w:t xml:space="preserve">In order to protect the commercial interests of BHEL, BHEL shall </w:t>
      </w:r>
      <w:proofErr w:type="gramStart"/>
      <w:r w:rsidRPr="00861EAC">
        <w:rPr>
          <w:rFonts w:ascii="Georgia" w:hAnsi="Georgia"/>
          <w:sz w:val="20"/>
        </w:rPr>
        <w:t>take action</w:t>
      </w:r>
      <w:proofErr w:type="gramEnd"/>
      <w:r w:rsidRPr="00861EAC">
        <w:rPr>
          <w:rFonts w:ascii="Georgia" w:hAnsi="Georgia"/>
          <w:sz w:val="20"/>
        </w:rPr>
        <w:t xml:space="preserve"> against supplies / contractors by way of suspension of business dealings, who either fail to perform or are in default without any reasonable cause, cause loss of business/ money/ reputation, indulge in malpractices, cheating, bribery, fraud or any other misconduct or formation of cartels so as to influence the bidding process or influence the price etc.</w:t>
      </w:r>
      <w:r w:rsidRPr="00861EAC">
        <w:rPr>
          <w:rFonts w:ascii="Georgia" w:hAnsi="Georgia" w:cs="Arial"/>
        </w:rPr>
        <w:t xml:space="preserve"> </w:t>
      </w:r>
    </w:p>
    <w:p w:rsidR="000A7B10" w:rsidRPr="00861EAC" w:rsidRDefault="000A7B10" w:rsidP="000A7B10">
      <w:pPr>
        <w:pStyle w:val="ListParagraph"/>
        <w:jc w:val="both"/>
        <w:rPr>
          <w:rFonts w:ascii="Arial" w:hAnsi="Arial" w:cs="Arial"/>
        </w:rPr>
      </w:pPr>
    </w:p>
    <w:p w:rsidR="000A7B10" w:rsidRDefault="000A7B10" w:rsidP="000A7B10">
      <w:pPr>
        <w:pStyle w:val="ListParagraph"/>
        <w:jc w:val="both"/>
        <w:rPr>
          <w:rFonts w:ascii="Arial" w:hAnsi="Arial" w:cs="Arial"/>
        </w:rPr>
      </w:pPr>
      <w:r w:rsidRPr="00861EAC">
        <w:rPr>
          <w:rFonts w:ascii="Georgia" w:hAnsi="Georgia"/>
          <w:sz w:val="20"/>
        </w:rPr>
        <w:t>Suspension of Business Dealings could be in the form of “Hold” or “Banning” a supplier/ contractor or a bidder and shall be as per “Guidelines for Suspension of Business Dealings with Suppliers/ Contractors” available at BHEL’s website</w:t>
      </w:r>
      <w:r w:rsidRPr="00861EAC">
        <w:rPr>
          <w:rFonts w:ascii="Arial" w:hAnsi="Arial" w:cs="Arial"/>
        </w:rPr>
        <w:t xml:space="preserve"> “</w:t>
      </w:r>
      <w:hyperlink r:id="rId7" w:history="1">
        <w:r w:rsidRPr="00861EAC">
          <w:rPr>
            <w:rStyle w:val="Hyperlink"/>
            <w:rFonts w:ascii="Arial" w:hAnsi="Arial" w:cs="Arial"/>
          </w:rPr>
          <w:t>https://www.bhel.com/guidelines-suspension-business-dealings-supplierscontractors</w:t>
        </w:r>
      </w:hyperlink>
      <w:r w:rsidRPr="00861EAC">
        <w:rPr>
          <w:rFonts w:ascii="Arial" w:hAnsi="Arial" w:cs="Arial"/>
        </w:rPr>
        <w:t xml:space="preserve">” </w:t>
      </w:r>
    </w:p>
    <w:p w:rsidR="000A7B10" w:rsidRDefault="000A7B10" w:rsidP="000A7B10">
      <w:pPr>
        <w:pStyle w:val="ListParagraph"/>
        <w:jc w:val="both"/>
        <w:rPr>
          <w:rFonts w:ascii="Arial" w:hAnsi="Arial" w:cs="Arial"/>
        </w:rPr>
      </w:pPr>
    </w:p>
    <w:p w:rsidR="000A7B10" w:rsidRDefault="000A7B10" w:rsidP="000A7B10">
      <w:pPr>
        <w:pStyle w:val="ListParagraph"/>
        <w:numPr>
          <w:ilvl w:val="0"/>
          <w:numId w:val="43"/>
        </w:numPr>
        <w:spacing w:after="0" w:line="240" w:lineRule="auto"/>
        <w:jc w:val="both"/>
        <w:rPr>
          <w:rFonts w:cstheme="minorHAnsi"/>
        </w:rPr>
      </w:pPr>
      <w:r w:rsidRPr="007841DD">
        <w:rPr>
          <w:rFonts w:cstheme="minorHAnsi"/>
        </w:rPr>
        <w:t>“A bidder shall not have conflict of interest with other bidders. Such conflict of interest can lead to anti-competitive practices to the detriment of Procuring Entity's interests. The bidder found to have a conflict of interest shall be disqualified. A bidder may be considered to have a conflict of interest with one or more parties in this bidding process, if:</w:t>
      </w:r>
    </w:p>
    <w:p w:rsidR="000A7B10" w:rsidRPr="007841DD" w:rsidRDefault="000A7B10" w:rsidP="000A7B10">
      <w:pPr>
        <w:pStyle w:val="ListParagraph"/>
        <w:jc w:val="both"/>
        <w:rPr>
          <w:rFonts w:cstheme="minorHAnsi"/>
        </w:rPr>
      </w:pPr>
    </w:p>
    <w:p w:rsidR="000A7B10" w:rsidRDefault="000A7B10" w:rsidP="000A7B10">
      <w:pPr>
        <w:pStyle w:val="ListParagraph"/>
        <w:ind w:left="-207"/>
        <w:jc w:val="both"/>
        <w:rPr>
          <w:rFonts w:cstheme="minorHAnsi"/>
        </w:rPr>
      </w:pPr>
      <w:r>
        <w:rPr>
          <w:rFonts w:cstheme="minorHAnsi"/>
        </w:rPr>
        <w:t xml:space="preserve">             a) they have controlling partner (s) in common; or</w:t>
      </w:r>
    </w:p>
    <w:p w:rsidR="000A7B10" w:rsidRDefault="000A7B10" w:rsidP="000A7B10">
      <w:pPr>
        <w:pStyle w:val="ListParagraph"/>
        <w:ind w:left="-207"/>
        <w:jc w:val="both"/>
        <w:rPr>
          <w:rFonts w:cstheme="minorHAnsi"/>
        </w:rPr>
      </w:pPr>
      <w:r>
        <w:rPr>
          <w:rFonts w:cstheme="minorHAnsi"/>
        </w:rPr>
        <w:t xml:space="preserve">             b) they receive or have received any direct or indirect subsidy/ financial stake from any of them; or</w:t>
      </w:r>
    </w:p>
    <w:p w:rsidR="000A7B10" w:rsidRDefault="000A7B10" w:rsidP="000A7B10">
      <w:pPr>
        <w:pStyle w:val="ListParagraph"/>
        <w:ind w:left="-207"/>
        <w:jc w:val="both"/>
        <w:rPr>
          <w:rFonts w:cstheme="minorHAnsi"/>
        </w:rPr>
      </w:pPr>
      <w:r>
        <w:rPr>
          <w:rFonts w:cstheme="minorHAnsi"/>
        </w:rPr>
        <w:t xml:space="preserve">             c) they have the same legal representative/agent for purposes of this bid; or</w:t>
      </w:r>
    </w:p>
    <w:p w:rsidR="000A7B10" w:rsidRDefault="000A7B10" w:rsidP="000A7B10">
      <w:pPr>
        <w:pStyle w:val="ListParagraph"/>
        <w:ind w:left="-207"/>
        <w:jc w:val="both"/>
        <w:rPr>
          <w:rFonts w:cstheme="minorHAnsi"/>
        </w:rPr>
      </w:pPr>
      <w:r>
        <w:rPr>
          <w:rFonts w:cstheme="minorHAnsi"/>
        </w:rPr>
        <w:t xml:space="preserve">             d) they have relationship with each other, directly or through common third parties, that puts them in a     </w:t>
      </w:r>
    </w:p>
    <w:p w:rsidR="000A7B10" w:rsidRDefault="000A7B10" w:rsidP="000A7B10">
      <w:pPr>
        <w:pStyle w:val="ListParagraph"/>
        <w:ind w:left="-207"/>
        <w:jc w:val="both"/>
        <w:rPr>
          <w:rFonts w:cstheme="minorHAnsi"/>
        </w:rPr>
      </w:pPr>
      <w:r>
        <w:rPr>
          <w:rFonts w:cstheme="minorHAnsi"/>
        </w:rPr>
        <w:t xml:space="preserve">                  position to have access to information about or influence on the bid of another Bidder; or</w:t>
      </w:r>
    </w:p>
    <w:p w:rsidR="003B72CE" w:rsidRDefault="003B72CE" w:rsidP="000A7B10">
      <w:pPr>
        <w:pStyle w:val="ListParagraph"/>
        <w:ind w:left="-207"/>
        <w:jc w:val="both"/>
        <w:rPr>
          <w:rFonts w:cstheme="minorHAnsi"/>
        </w:rPr>
      </w:pPr>
    </w:p>
    <w:p w:rsidR="003B72CE" w:rsidRDefault="003B72CE" w:rsidP="000A7B10">
      <w:pPr>
        <w:pStyle w:val="ListParagraph"/>
        <w:ind w:left="-207"/>
        <w:jc w:val="both"/>
        <w:rPr>
          <w:rFonts w:cstheme="minorHAnsi"/>
        </w:rPr>
      </w:pPr>
    </w:p>
    <w:p w:rsidR="003B72CE" w:rsidRDefault="003B72CE" w:rsidP="000A7B10">
      <w:pPr>
        <w:pStyle w:val="ListParagraph"/>
        <w:ind w:left="-207"/>
        <w:jc w:val="both"/>
        <w:rPr>
          <w:rFonts w:cstheme="minorHAnsi"/>
        </w:rPr>
      </w:pPr>
    </w:p>
    <w:p w:rsidR="000A7B10" w:rsidRDefault="000A7B10" w:rsidP="000A7B10">
      <w:pPr>
        <w:pStyle w:val="ListParagraph"/>
        <w:ind w:left="-207"/>
        <w:jc w:val="both"/>
        <w:rPr>
          <w:rFonts w:cstheme="minorHAnsi"/>
        </w:rPr>
      </w:pPr>
    </w:p>
    <w:p w:rsidR="000A7B10" w:rsidRDefault="000A7B10" w:rsidP="000A7B10">
      <w:pPr>
        <w:pStyle w:val="ListParagraph"/>
        <w:ind w:left="-207"/>
        <w:jc w:val="both"/>
        <w:rPr>
          <w:rFonts w:cstheme="minorHAnsi"/>
        </w:rPr>
      </w:pPr>
    </w:p>
    <w:p w:rsidR="000A7B10" w:rsidRDefault="000A7B10" w:rsidP="000A7B10">
      <w:pPr>
        <w:pStyle w:val="ListParagraph"/>
        <w:ind w:left="-207"/>
        <w:jc w:val="both"/>
        <w:rPr>
          <w:rFonts w:cstheme="minorHAnsi"/>
        </w:rPr>
      </w:pPr>
    </w:p>
    <w:p w:rsidR="000A7B10" w:rsidRDefault="000A7B10" w:rsidP="000A7B10">
      <w:pPr>
        <w:pStyle w:val="ListParagraph"/>
        <w:ind w:left="-207"/>
        <w:jc w:val="both"/>
        <w:rPr>
          <w:rFonts w:cstheme="minorHAnsi"/>
        </w:rPr>
      </w:pPr>
    </w:p>
    <w:p w:rsidR="000A7B10" w:rsidRDefault="000A7B10" w:rsidP="000A7B10">
      <w:pPr>
        <w:pStyle w:val="ListParagraph"/>
        <w:ind w:left="-207"/>
        <w:jc w:val="both"/>
        <w:rPr>
          <w:rFonts w:cstheme="minorHAnsi"/>
        </w:rPr>
      </w:pPr>
      <w:r>
        <w:rPr>
          <w:rFonts w:cstheme="minorHAnsi"/>
        </w:rPr>
        <w:t xml:space="preserve">             e) Bidder participates in more than one bid in this bidding process. Participation by a Bidder in more than  </w:t>
      </w:r>
    </w:p>
    <w:p w:rsidR="000A7B10" w:rsidRDefault="000A7B10" w:rsidP="000A7B10">
      <w:pPr>
        <w:pStyle w:val="ListParagraph"/>
        <w:ind w:left="-207"/>
        <w:jc w:val="both"/>
        <w:rPr>
          <w:rFonts w:cstheme="minorHAnsi"/>
        </w:rPr>
      </w:pPr>
      <w:r>
        <w:rPr>
          <w:rFonts w:cstheme="minorHAnsi"/>
        </w:rPr>
        <w:t xml:space="preserve">                  one Bid will result in the disqualification of all bids in which the parties are involved. However, this does        </w:t>
      </w:r>
    </w:p>
    <w:p w:rsidR="000A7B10" w:rsidRDefault="000A7B10" w:rsidP="000A7B10">
      <w:pPr>
        <w:pStyle w:val="ListParagraph"/>
        <w:ind w:left="-207"/>
        <w:jc w:val="both"/>
        <w:rPr>
          <w:rFonts w:cstheme="minorHAnsi"/>
        </w:rPr>
      </w:pPr>
      <w:r>
        <w:rPr>
          <w:rFonts w:cstheme="minorHAnsi"/>
        </w:rPr>
        <w:t xml:space="preserve">                  not limit the inclusion of the components/ sub-assembly/ Assemblies from one bidding manufacturer in  </w:t>
      </w:r>
    </w:p>
    <w:p w:rsidR="000A7B10" w:rsidRDefault="000A7B10" w:rsidP="000A7B10">
      <w:pPr>
        <w:pStyle w:val="ListParagraph"/>
        <w:ind w:left="-207"/>
        <w:jc w:val="both"/>
        <w:rPr>
          <w:rFonts w:cstheme="minorHAnsi"/>
        </w:rPr>
      </w:pPr>
      <w:r>
        <w:rPr>
          <w:rFonts w:cstheme="minorHAnsi"/>
        </w:rPr>
        <w:t xml:space="preserve">                  more than one bid; or</w:t>
      </w:r>
    </w:p>
    <w:p w:rsidR="000A7B10" w:rsidRDefault="000A7B10" w:rsidP="000A7B10">
      <w:pPr>
        <w:pStyle w:val="ListParagraph"/>
        <w:ind w:left="-207"/>
        <w:jc w:val="both"/>
        <w:rPr>
          <w:rFonts w:cstheme="minorHAnsi"/>
        </w:rPr>
      </w:pPr>
    </w:p>
    <w:p w:rsidR="000A7B10" w:rsidRDefault="000A7B10" w:rsidP="000A7B10">
      <w:pPr>
        <w:jc w:val="both"/>
        <w:rPr>
          <w:rFonts w:cstheme="minorHAnsi"/>
        </w:rPr>
      </w:pPr>
      <w:r>
        <w:rPr>
          <w:rFonts w:cstheme="minorHAnsi"/>
        </w:rPr>
        <w:t xml:space="preserve">          </w:t>
      </w:r>
      <w:r w:rsidRPr="00385650">
        <w:rPr>
          <w:rFonts w:cstheme="minorHAnsi"/>
        </w:rPr>
        <w:t xml:space="preserve">f) In cases of agents quoting in offshore procurements, on behalf of their principal manufacturers, one agent </w:t>
      </w:r>
      <w:r>
        <w:rPr>
          <w:rFonts w:cstheme="minorHAnsi"/>
        </w:rPr>
        <w:t xml:space="preserve"> </w:t>
      </w:r>
    </w:p>
    <w:p w:rsidR="000A7B10" w:rsidRDefault="000A7B10" w:rsidP="000A7B10">
      <w:pPr>
        <w:jc w:val="both"/>
        <w:rPr>
          <w:rFonts w:cstheme="minorHAnsi"/>
        </w:rPr>
      </w:pPr>
      <w:r>
        <w:rPr>
          <w:rFonts w:cstheme="minorHAnsi"/>
        </w:rPr>
        <w:t xml:space="preserve">              </w:t>
      </w:r>
      <w:r w:rsidRPr="00385650">
        <w:rPr>
          <w:rFonts w:cstheme="minorHAnsi"/>
        </w:rPr>
        <w:t xml:space="preserve">cannot represent two manufacturers or quote on their behalf in a particular tender enquiry. One </w:t>
      </w:r>
    </w:p>
    <w:p w:rsidR="000A7B10" w:rsidRPr="00385650" w:rsidRDefault="000A7B10" w:rsidP="000A7B10">
      <w:pPr>
        <w:jc w:val="both"/>
        <w:rPr>
          <w:rFonts w:cstheme="minorHAnsi"/>
        </w:rPr>
      </w:pPr>
      <w:r>
        <w:rPr>
          <w:rFonts w:cstheme="minorHAnsi"/>
        </w:rPr>
        <w:t xml:space="preserve">              </w:t>
      </w:r>
      <w:r w:rsidRPr="00385650">
        <w:rPr>
          <w:rFonts w:cstheme="minorHAnsi"/>
        </w:rPr>
        <w:t>manufacturer can also authorize only one agent/dealer. There can be only one bid from the following:</w:t>
      </w:r>
    </w:p>
    <w:p w:rsidR="000A7B10" w:rsidRPr="00385650" w:rsidRDefault="000A7B10" w:rsidP="000A7B10">
      <w:pPr>
        <w:pStyle w:val="ListParagraph"/>
        <w:ind w:left="-207"/>
        <w:rPr>
          <w:rFonts w:cstheme="minorHAnsi"/>
        </w:rPr>
      </w:pPr>
      <w:r>
        <w:rPr>
          <w:rFonts w:cstheme="minorHAnsi"/>
        </w:rPr>
        <w:t xml:space="preserve">              </w:t>
      </w:r>
      <w:r w:rsidRPr="00385650">
        <w:rPr>
          <w:rFonts w:cstheme="minorHAnsi"/>
        </w:rPr>
        <w:t>1. The principal manufacturer directly or through one Indian agent on his behalf; and</w:t>
      </w:r>
    </w:p>
    <w:p w:rsidR="000A7B10" w:rsidRDefault="000A7B10" w:rsidP="000A7B10">
      <w:pPr>
        <w:pStyle w:val="ListParagraph"/>
        <w:ind w:left="-207"/>
        <w:rPr>
          <w:rFonts w:cstheme="minorHAnsi"/>
        </w:rPr>
      </w:pPr>
      <w:r>
        <w:rPr>
          <w:rFonts w:cstheme="minorHAnsi"/>
        </w:rPr>
        <w:t xml:space="preserve">              2. Indian/foreign agent on behalf of only one principal;</w:t>
      </w:r>
    </w:p>
    <w:p w:rsidR="000A7B10" w:rsidRDefault="000A7B10" w:rsidP="000A7B10">
      <w:pPr>
        <w:pStyle w:val="ListParagraph"/>
        <w:ind w:left="-207"/>
        <w:rPr>
          <w:rFonts w:cstheme="minorHAnsi"/>
        </w:rPr>
      </w:pPr>
      <w:r>
        <w:rPr>
          <w:rFonts w:cstheme="minorHAnsi"/>
        </w:rPr>
        <w:t xml:space="preserve">                                                                                            or</w:t>
      </w:r>
    </w:p>
    <w:p w:rsidR="000A7B10" w:rsidRDefault="000A7B10" w:rsidP="000A7B10">
      <w:pPr>
        <w:pStyle w:val="ListParagraph"/>
        <w:ind w:left="-207"/>
        <w:jc w:val="both"/>
        <w:rPr>
          <w:rFonts w:cstheme="minorHAnsi"/>
        </w:rPr>
      </w:pPr>
      <w:r>
        <w:rPr>
          <w:rFonts w:cstheme="minorHAnsi"/>
        </w:rPr>
        <w:t xml:space="preserve">              g) A Bidder or any of its affiliates participated as a consultant in the preparation of the design or technical    </w:t>
      </w:r>
    </w:p>
    <w:p w:rsidR="000A7B10" w:rsidRDefault="000A7B10" w:rsidP="000A7B10">
      <w:pPr>
        <w:pStyle w:val="ListParagraph"/>
        <w:ind w:left="-207"/>
        <w:jc w:val="both"/>
        <w:rPr>
          <w:rFonts w:cstheme="minorHAnsi"/>
        </w:rPr>
      </w:pPr>
      <w:r>
        <w:rPr>
          <w:rFonts w:cstheme="minorHAnsi"/>
        </w:rPr>
        <w:t xml:space="preserve">                  specifications of the contract that is the subject of the Bid, or</w:t>
      </w:r>
    </w:p>
    <w:p w:rsidR="000A7B10" w:rsidRDefault="000A7B10" w:rsidP="000A7B10">
      <w:pPr>
        <w:pStyle w:val="ListParagraph"/>
        <w:ind w:left="-207"/>
        <w:jc w:val="both"/>
        <w:rPr>
          <w:rFonts w:cstheme="minorHAnsi"/>
        </w:rPr>
      </w:pPr>
    </w:p>
    <w:p w:rsidR="000A7B10" w:rsidRDefault="000A7B10" w:rsidP="000A7B10">
      <w:pPr>
        <w:jc w:val="both"/>
        <w:rPr>
          <w:rFonts w:cstheme="minorHAnsi"/>
        </w:rPr>
      </w:pPr>
      <w:r>
        <w:rPr>
          <w:rFonts w:cstheme="minorHAnsi"/>
        </w:rPr>
        <w:t xml:space="preserve">         </w:t>
      </w:r>
      <w:r w:rsidRPr="00385650">
        <w:rPr>
          <w:rFonts w:cstheme="minorHAnsi"/>
        </w:rPr>
        <w:t xml:space="preserve">h) In case of a holding company having more than one independently manufacturing units, or more than one </w:t>
      </w:r>
      <w:r>
        <w:rPr>
          <w:rFonts w:cstheme="minorHAnsi"/>
        </w:rPr>
        <w:t xml:space="preserve">         </w:t>
      </w:r>
    </w:p>
    <w:p w:rsidR="000A7B10" w:rsidRDefault="000A7B10" w:rsidP="000A7B10">
      <w:pPr>
        <w:jc w:val="both"/>
        <w:rPr>
          <w:rFonts w:cstheme="minorHAnsi"/>
        </w:rPr>
      </w:pPr>
      <w:r>
        <w:rPr>
          <w:rFonts w:cstheme="minorHAnsi"/>
        </w:rPr>
        <w:t xml:space="preserve">             </w:t>
      </w:r>
      <w:r w:rsidRPr="00385650">
        <w:rPr>
          <w:rFonts w:cstheme="minorHAnsi"/>
        </w:rPr>
        <w:t xml:space="preserve">unit having common business ownership/management, only one unit should quote. Similar restrictions </w:t>
      </w:r>
    </w:p>
    <w:p w:rsidR="000A7B10" w:rsidRDefault="000A7B10" w:rsidP="000A7B10">
      <w:pPr>
        <w:jc w:val="both"/>
        <w:rPr>
          <w:rFonts w:cstheme="minorHAnsi"/>
        </w:rPr>
      </w:pPr>
      <w:r>
        <w:rPr>
          <w:rFonts w:cstheme="minorHAnsi"/>
        </w:rPr>
        <w:t xml:space="preserve">             </w:t>
      </w:r>
      <w:r w:rsidRPr="00385650">
        <w:rPr>
          <w:rFonts w:cstheme="minorHAnsi"/>
        </w:rPr>
        <w:t xml:space="preserve">would apply to closely related sister companies. Bidders must proactively declare such sister/ common </w:t>
      </w:r>
    </w:p>
    <w:p w:rsidR="000A7B10" w:rsidRDefault="000A7B10" w:rsidP="000A7B10">
      <w:pPr>
        <w:jc w:val="both"/>
        <w:rPr>
          <w:rFonts w:cstheme="minorHAnsi"/>
        </w:rPr>
      </w:pPr>
      <w:r>
        <w:rPr>
          <w:rFonts w:cstheme="minorHAnsi"/>
        </w:rPr>
        <w:t xml:space="preserve">             </w:t>
      </w:r>
      <w:r w:rsidRPr="00385650">
        <w:rPr>
          <w:rFonts w:cstheme="minorHAnsi"/>
        </w:rPr>
        <w:t>business/ management units in same/ similar line of business. "</w:t>
      </w:r>
    </w:p>
    <w:p w:rsidR="003B72CE" w:rsidRDefault="003B72CE" w:rsidP="000A7B10">
      <w:pPr>
        <w:jc w:val="both"/>
        <w:rPr>
          <w:rFonts w:cstheme="minorHAnsi"/>
        </w:rPr>
      </w:pPr>
    </w:p>
    <w:p w:rsidR="000A7B10" w:rsidRPr="003B72CE" w:rsidRDefault="000A7B10" w:rsidP="000A7B10">
      <w:pPr>
        <w:pStyle w:val="ListParagraph"/>
        <w:numPr>
          <w:ilvl w:val="0"/>
          <w:numId w:val="43"/>
        </w:numPr>
        <w:spacing w:after="0" w:line="240" w:lineRule="auto"/>
        <w:jc w:val="both"/>
        <w:rPr>
          <w:rFonts w:ascii="Arial" w:hAnsi="Arial" w:cs="Arial"/>
        </w:rPr>
      </w:pPr>
      <w:r w:rsidRPr="00C01AB9">
        <w:rPr>
          <w:rFonts w:ascii="Cambria" w:hAnsi="Cambria" w:cstheme="minorHAnsi"/>
          <w:sz w:val="20"/>
        </w:rPr>
        <w:t xml:space="preserve">RA shall be done if </w:t>
      </w:r>
      <w:proofErr w:type="spellStart"/>
      <w:r w:rsidRPr="00C01AB9">
        <w:rPr>
          <w:rFonts w:ascii="Cambria" w:hAnsi="Cambria" w:cstheme="minorHAnsi"/>
          <w:sz w:val="20"/>
        </w:rPr>
        <w:t>GeM</w:t>
      </w:r>
      <w:proofErr w:type="spellEnd"/>
      <w:r w:rsidRPr="00C01AB9">
        <w:rPr>
          <w:rFonts w:ascii="Cambria" w:hAnsi="Cambria" w:cstheme="minorHAnsi"/>
          <w:sz w:val="20"/>
        </w:rPr>
        <w:t xml:space="preserve"> allows RA for evaluation else RA shall not be done. The elimination criteria for RA shall be taken as “Elimination of H-1 Bidder.” </w:t>
      </w:r>
      <w:r w:rsidRPr="00C01AB9">
        <w:rPr>
          <w:rFonts w:ascii="Georgia" w:hAnsi="Georgia" w:cstheme="minorHAnsi"/>
          <w:i/>
          <w:iCs/>
          <w:sz w:val="20"/>
        </w:rPr>
        <w:t xml:space="preserve">RA shall be done as per </w:t>
      </w:r>
      <w:proofErr w:type="spellStart"/>
      <w:r w:rsidRPr="00C01AB9">
        <w:rPr>
          <w:rFonts w:ascii="Georgia" w:hAnsi="Georgia" w:cstheme="minorHAnsi"/>
          <w:i/>
          <w:iCs/>
          <w:sz w:val="20"/>
        </w:rPr>
        <w:t>GeM</w:t>
      </w:r>
      <w:proofErr w:type="spellEnd"/>
      <w:r w:rsidRPr="00C01AB9">
        <w:rPr>
          <w:rFonts w:ascii="Georgia" w:hAnsi="Georgia" w:cstheme="minorHAnsi"/>
          <w:i/>
          <w:iCs/>
          <w:sz w:val="20"/>
        </w:rPr>
        <w:t xml:space="preserve"> guidelines as per circular </w:t>
      </w:r>
      <w:proofErr w:type="gramStart"/>
      <w:r w:rsidRPr="00C01AB9">
        <w:rPr>
          <w:rFonts w:ascii="Georgia" w:hAnsi="Georgia" w:cstheme="minorHAnsi"/>
          <w:i/>
          <w:iCs/>
          <w:sz w:val="20"/>
        </w:rPr>
        <w:t>AA:SSP</w:t>
      </w:r>
      <w:proofErr w:type="gramEnd"/>
      <w:r w:rsidRPr="00C01AB9">
        <w:rPr>
          <w:rFonts w:ascii="Georgia" w:hAnsi="Georgia" w:cstheme="minorHAnsi"/>
          <w:i/>
          <w:iCs/>
          <w:sz w:val="20"/>
        </w:rPr>
        <w:t>:GeM:clar:R00 dt 01.12.22 .</w:t>
      </w:r>
    </w:p>
    <w:p w:rsidR="003B72CE" w:rsidRDefault="003B72CE" w:rsidP="003B72CE">
      <w:pPr>
        <w:pStyle w:val="ListParagraph"/>
        <w:spacing w:after="0" w:line="240" w:lineRule="auto"/>
        <w:jc w:val="both"/>
        <w:rPr>
          <w:rFonts w:ascii="Arial" w:hAnsi="Arial" w:cs="Arial"/>
        </w:rPr>
      </w:pPr>
    </w:p>
    <w:p w:rsidR="003B72CE" w:rsidRPr="00C01AB9" w:rsidRDefault="003B72CE" w:rsidP="003B72CE">
      <w:pPr>
        <w:pStyle w:val="ListParagraph"/>
        <w:spacing w:after="0" w:line="240" w:lineRule="auto"/>
        <w:jc w:val="both"/>
        <w:rPr>
          <w:rFonts w:ascii="Arial" w:hAnsi="Arial" w:cs="Arial"/>
        </w:rPr>
      </w:pPr>
    </w:p>
    <w:p w:rsidR="002E1AFA" w:rsidRDefault="002E1AFA" w:rsidP="007F70BD">
      <w:pPr>
        <w:autoSpaceDE w:val="0"/>
        <w:autoSpaceDN w:val="0"/>
        <w:adjustRightInd w:val="0"/>
        <w:ind w:left="284"/>
        <w:jc w:val="both"/>
        <w:rPr>
          <w:rFonts w:ascii="Times New Roman" w:hAnsi="Times New Roman" w:cs="Times New Roman"/>
          <w:sz w:val="32"/>
          <w:szCs w:val="32"/>
        </w:rPr>
      </w:pPr>
      <w:r w:rsidRPr="00E861DE">
        <w:rPr>
          <w:rFonts w:ascii="Times New Roman" w:hAnsi="Times New Roman" w:cs="Times New Roman"/>
          <w:sz w:val="32"/>
          <w:szCs w:val="32"/>
        </w:rPr>
        <w:t>Rest terms and conditions shall be as per GeM (Latest Version- applicable at the time of issuance of enquiry).</w:t>
      </w:r>
    </w:p>
    <w:p w:rsidR="005E0497" w:rsidRDefault="00CF77F9" w:rsidP="00D91425">
      <w:pPr>
        <w:rPr>
          <w:rFonts w:ascii="Times New Roman" w:hAnsi="Times New Roman" w:cs="Times New Roman"/>
          <w:b/>
          <w:bCs/>
          <w:sz w:val="32"/>
          <w:szCs w:val="32"/>
          <w:u w:val="single"/>
        </w:rPr>
      </w:pPr>
      <w:bookmarkStart w:id="0" w:name="_GoBack"/>
      <w:bookmarkEnd w:id="0"/>
      <w:r>
        <w:rPr>
          <w:rFonts w:ascii="Times New Roman" w:hAnsi="Times New Roman" w:cs="Times New Roman"/>
          <w:b/>
          <w:bCs/>
          <w:sz w:val="32"/>
          <w:szCs w:val="32"/>
        </w:rPr>
        <w:t xml:space="preserve">    </w:t>
      </w:r>
      <w:r w:rsidR="0035074B" w:rsidRPr="004411C1">
        <w:rPr>
          <w:rFonts w:ascii="Times New Roman" w:hAnsi="Times New Roman" w:cs="Times New Roman"/>
          <w:b/>
          <w:bCs/>
          <w:sz w:val="32"/>
          <w:szCs w:val="32"/>
          <w:u w:val="single"/>
        </w:rPr>
        <w:t>Item Details</w:t>
      </w:r>
      <w:r w:rsidR="00D91425" w:rsidRPr="004411C1">
        <w:rPr>
          <w:rFonts w:ascii="Times New Roman" w:hAnsi="Times New Roman" w:cs="Times New Roman"/>
          <w:b/>
          <w:bCs/>
          <w:sz w:val="32"/>
          <w:szCs w:val="32"/>
          <w:u w:val="single"/>
        </w:rPr>
        <w:t>-</w:t>
      </w:r>
    </w:p>
    <w:p w:rsidR="000A7B10" w:rsidRPr="004411C1" w:rsidRDefault="000A7B10" w:rsidP="00D91425">
      <w:pPr>
        <w:rPr>
          <w:rFonts w:ascii="Times New Roman" w:hAnsi="Times New Roman" w:cs="Times New Roman"/>
          <w:b/>
          <w:bCs/>
          <w:sz w:val="32"/>
          <w:szCs w:val="32"/>
          <w:u w:val="single"/>
        </w:rPr>
      </w:pPr>
    </w:p>
    <w:tbl>
      <w:tblPr>
        <w:tblW w:w="9805" w:type="dxa"/>
        <w:tblInd w:w="675" w:type="dxa"/>
        <w:tblLayout w:type="fixed"/>
        <w:tblLook w:val="04A0" w:firstRow="1" w:lastRow="0" w:firstColumn="1" w:lastColumn="0" w:noHBand="0" w:noVBand="1"/>
      </w:tblPr>
      <w:tblGrid>
        <w:gridCol w:w="568"/>
        <w:gridCol w:w="1826"/>
        <w:gridCol w:w="4251"/>
        <w:gridCol w:w="751"/>
        <w:gridCol w:w="708"/>
        <w:gridCol w:w="1701"/>
      </w:tblGrid>
      <w:tr w:rsidR="00FC470A" w:rsidRPr="003D7F22" w:rsidTr="002300B9">
        <w:trPr>
          <w:trHeight w:val="252"/>
        </w:trPr>
        <w:tc>
          <w:tcPr>
            <w:tcW w:w="568" w:type="dxa"/>
            <w:tcBorders>
              <w:top w:val="single" w:sz="8" w:space="0" w:color="auto"/>
              <w:left w:val="single" w:sz="8" w:space="0" w:color="auto"/>
              <w:bottom w:val="nil"/>
              <w:right w:val="single" w:sz="4" w:space="0" w:color="auto"/>
            </w:tcBorders>
            <w:vAlign w:val="center"/>
            <w:hideMark/>
          </w:tcPr>
          <w:p w:rsidR="000B60B6" w:rsidRPr="003D7F22" w:rsidRDefault="000B60B6" w:rsidP="00C15688">
            <w:pPr>
              <w:spacing w:after="0" w:line="240" w:lineRule="auto"/>
              <w:jc w:val="center"/>
              <w:rPr>
                <w:rFonts w:eastAsia="Times New Roman" w:cstheme="minorHAnsi"/>
                <w:b/>
                <w:bCs/>
                <w:color w:val="000000"/>
                <w:sz w:val="24"/>
                <w:szCs w:val="24"/>
                <w:lang w:eastAsia="en-IN"/>
              </w:rPr>
            </w:pPr>
            <w:r w:rsidRPr="003D7F22">
              <w:rPr>
                <w:rFonts w:eastAsia="Times New Roman" w:cstheme="minorHAnsi"/>
                <w:b/>
                <w:bCs/>
                <w:color w:val="000000"/>
                <w:sz w:val="24"/>
                <w:szCs w:val="24"/>
                <w:lang w:eastAsia="en-IN"/>
              </w:rPr>
              <w:t xml:space="preserve">Sl. No. </w:t>
            </w:r>
          </w:p>
        </w:tc>
        <w:tc>
          <w:tcPr>
            <w:tcW w:w="1826" w:type="dxa"/>
            <w:tcBorders>
              <w:top w:val="single" w:sz="8" w:space="0" w:color="auto"/>
              <w:left w:val="nil"/>
              <w:bottom w:val="nil"/>
              <w:right w:val="single" w:sz="4" w:space="0" w:color="auto"/>
            </w:tcBorders>
            <w:vAlign w:val="center"/>
            <w:hideMark/>
          </w:tcPr>
          <w:p w:rsidR="000B60B6" w:rsidRPr="003D7F22" w:rsidRDefault="000B60B6" w:rsidP="00C15688">
            <w:pPr>
              <w:spacing w:after="0" w:line="240" w:lineRule="auto"/>
              <w:jc w:val="center"/>
              <w:rPr>
                <w:rFonts w:eastAsia="Times New Roman" w:cstheme="minorHAnsi"/>
                <w:b/>
                <w:bCs/>
                <w:color w:val="000000"/>
                <w:sz w:val="24"/>
                <w:szCs w:val="24"/>
                <w:lang w:eastAsia="en-IN"/>
              </w:rPr>
            </w:pPr>
            <w:r w:rsidRPr="003D7F22">
              <w:rPr>
                <w:rFonts w:eastAsia="Times New Roman" w:cstheme="minorHAnsi"/>
                <w:b/>
                <w:bCs/>
                <w:color w:val="000000"/>
                <w:sz w:val="24"/>
                <w:szCs w:val="24"/>
                <w:lang w:eastAsia="en-IN"/>
              </w:rPr>
              <w:t>Material Code</w:t>
            </w:r>
          </w:p>
        </w:tc>
        <w:tc>
          <w:tcPr>
            <w:tcW w:w="4251" w:type="dxa"/>
            <w:tcBorders>
              <w:top w:val="single" w:sz="8" w:space="0" w:color="auto"/>
              <w:left w:val="nil"/>
              <w:bottom w:val="nil"/>
              <w:right w:val="single" w:sz="4" w:space="0" w:color="auto"/>
            </w:tcBorders>
            <w:vAlign w:val="center"/>
            <w:hideMark/>
          </w:tcPr>
          <w:p w:rsidR="000B60B6" w:rsidRPr="003D7F22" w:rsidRDefault="000B60B6" w:rsidP="00C15688">
            <w:pPr>
              <w:spacing w:after="0" w:line="240" w:lineRule="auto"/>
              <w:jc w:val="center"/>
              <w:rPr>
                <w:rFonts w:eastAsia="Times New Roman" w:cstheme="minorHAnsi"/>
                <w:b/>
                <w:bCs/>
                <w:color w:val="000000"/>
                <w:sz w:val="24"/>
                <w:szCs w:val="24"/>
                <w:lang w:eastAsia="en-IN"/>
              </w:rPr>
            </w:pPr>
            <w:r w:rsidRPr="003D7F22">
              <w:rPr>
                <w:rFonts w:eastAsia="Times New Roman" w:cstheme="minorHAnsi"/>
                <w:b/>
                <w:bCs/>
                <w:color w:val="000000"/>
                <w:sz w:val="24"/>
                <w:szCs w:val="24"/>
                <w:lang w:eastAsia="en-IN"/>
              </w:rPr>
              <w:t>Item Description</w:t>
            </w:r>
          </w:p>
        </w:tc>
        <w:tc>
          <w:tcPr>
            <w:tcW w:w="751" w:type="dxa"/>
            <w:tcBorders>
              <w:top w:val="single" w:sz="8" w:space="0" w:color="auto"/>
              <w:left w:val="nil"/>
              <w:bottom w:val="nil"/>
              <w:right w:val="nil"/>
            </w:tcBorders>
            <w:vAlign w:val="center"/>
            <w:hideMark/>
          </w:tcPr>
          <w:p w:rsidR="000B60B6" w:rsidRPr="003D7F22" w:rsidRDefault="000B60B6" w:rsidP="00C15688">
            <w:pPr>
              <w:spacing w:after="0" w:line="240" w:lineRule="auto"/>
              <w:jc w:val="center"/>
              <w:rPr>
                <w:rFonts w:eastAsia="Times New Roman" w:cstheme="minorHAnsi"/>
                <w:b/>
                <w:bCs/>
                <w:color w:val="000000"/>
                <w:sz w:val="24"/>
                <w:szCs w:val="24"/>
                <w:lang w:eastAsia="en-IN"/>
              </w:rPr>
            </w:pPr>
            <w:r w:rsidRPr="003D7F22">
              <w:rPr>
                <w:rFonts w:eastAsia="Times New Roman" w:cstheme="minorHAnsi"/>
                <w:b/>
                <w:bCs/>
                <w:color w:val="000000"/>
                <w:sz w:val="24"/>
                <w:szCs w:val="24"/>
                <w:lang w:eastAsia="en-IN"/>
              </w:rPr>
              <w:t>Qty. (</w:t>
            </w:r>
            <w:r w:rsidR="008E609C">
              <w:rPr>
                <w:rFonts w:eastAsia="Times New Roman" w:cstheme="minorHAnsi"/>
                <w:b/>
                <w:bCs/>
                <w:color w:val="000000"/>
                <w:sz w:val="24"/>
                <w:szCs w:val="24"/>
                <w:lang w:eastAsia="en-IN"/>
              </w:rPr>
              <w:t>no</w:t>
            </w:r>
            <w:r>
              <w:rPr>
                <w:rFonts w:eastAsia="Times New Roman" w:cstheme="minorHAnsi"/>
                <w:b/>
                <w:bCs/>
                <w:color w:val="000000"/>
                <w:sz w:val="24"/>
                <w:szCs w:val="24"/>
                <w:lang w:eastAsia="en-IN"/>
              </w:rPr>
              <w:t>.</w:t>
            </w:r>
            <w:r w:rsidRPr="003D7F22">
              <w:rPr>
                <w:rFonts w:eastAsia="Times New Roman" w:cstheme="minorHAnsi"/>
                <w:b/>
                <w:bCs/>
                <w:color w:val="000000"/>
                <w:sz w:val="24"/>
                <w:szCs w:val="24"/>
                <w:lang w:eastAsia="en-IN"/>
              </w:rPr>
              <w:t>)</w:t>
            </w:r>
          </w:p>
        </w:tc>
        <w:tc>
          <w:tcPr>
            <w:tcW w:w="708" w:type="dxa"/>
            <w:tcBorders>
              <w:top w:val="single" w:sz="8" w:space="0" w:color="auto"/>
              <w:left w:val="nil"/>
              <w:bottom w:val="nil"/>
              <w:right w:val="single" w:sz="4" w:space="0" w:color="auto"/>
            </w:tcBorders>
            <w:vAlign w:val="center"/>
            <w:hideMark/>
          </w:tcPr>
          <w:p w:rsidR="000B60B6" w:rsidRPr="003D7F22" w:rsidRDefault="000B60B6" w:rsidP="00C15688">
            <w:pPr>
              <w:rPr>
                <w:rFonts w:eastAsia="Times New Roman" w:cstheme="minorHAnsi"/>
                <w:b/>
                <w:bCs/>
                <w:color w:val="000000"/>
                <w:sz w:val="24"/>
                <w:szCs w:val="24"/>
                <w:lang w:eastAsia="en-IN"/>
              </w:rPr>
            </w:pPr>
          </w:p>
        </w:tc>
        <w:tc>
          <w:tcPr>
            <w:tcW w:w="1701" w:type="dxa"/>
            <w:tcBorders>
              <w:top w:val="single" w:sz="8" w:space="0" w:color="auto"/>
              <w:left w:val="nil"/>
              <w:bottom w:val="nil"/>
              <w:right w:val="single" w:sz="4" w:space="0" w:color="auto"/>
            </w:tcBorders>
            <w:vAlign w:val="center"/>
            <w:hideMark/>
          </w:tcPr>
          <w:p w:rsidR="000B60B6" w:rsidRPr="003D7F22" w:rsidRDefault="000B60B6" w:rsidP="00C15688">
            <w:pPr>
              <w:spacing w:after="0" w:line="240" w:lineRule="auto"/>
              <w:jc w:val="center"/>
              <w:rPr>
                <w:rFonts w:eastAsia="Times New Roman" w:cstheme="minorHAnsi"/>
                <w:b/>
                <w:bCs/>
                <w:color w:val="000000"/>
                <w:sz w:val="24"/>
                <w:szCs w:val="24"/>
                <w:lang w:eastAsia="en-IN"/>
              </w:rPr>
            </w:pPr>
            <w:r w:rsidRPr="003D7F22">
              <w:rPr>
                <w:rFonts w:eastAsia="Times New Roman" w:cstheme="minorHAnsi"/>
                <w:b/>
                <w:bCs/>
                <w:color w:val="000000"/>
                <w:sz w:val="24"/>
                <w:szCs w:val="24"/>
                <w:lang w:eastAsia="en-IN"/>
              </w:rPr>
              <w:t>Delivery</w:t>
            </w:r>
          </w:p>
          <w:p w:rsidR="000B60B6" w:rsidRPr="003D7F22" w:rsidRDefault="000B60B6" w:rsidP="00C15688">
            <w:pPr>
              <w:spacing w:after="0" w:line="240" w:lineRule="auto"/>
              <w:jc w:val="center"/>
              <w:rPr>
                <w:rFonts w:eastAsia="Times New Roman" w:cstheme="minorHAnsi"/>
                <w:b/>
                <w:bCs/>
                <w:color w:val="000000"/>
                <w:sz w:val="24"/>
                <w:szCs w:val="24"/>
                <w:lang w:eastAsia="en-IN"/>
              </w:rPr>
            </w:pPr>
            <w:r w:rsidRPr="003D7F22">
              <w:rPr>
                <w:rFonts w:eastAsia="Times New Roman" w:cstheme="minorHAnsi"/>
                <w:b/>
                <w:bCs/>
                <w:color w:val="000000"/>
                <w:sz w:val="24"/>
                <w:szCs w:val="24"/>
                <w:lang w:eastAsia="en-IN"/>
              </w:rPr>
              <w:t>Schedule</w:t>
            </w:r>
          </w:p>
        </w:tc>
      </w:tr>
      <w:tr w:rsidR="00A1224F" w:rsidRPr="003D7F22" w:rsidTr="00052519">
        <w:trPr>
          <w:trHeight w:val="255"/>
        </w:trPr>
        <w:tc>
          <w:tcPr>
            <w:tcW w:w="568" w:type="dxa"/>
            <w:tcBorders>
              <w:top w:val="single" w:sz="8" w:space="0" w:color="auto"/>
              <w:left w:val="single" w:sz="8" w:space="0" w:color="auto"/>
              <w:bottom w:val="single" w:sz="4" w:space="0" w:color="auto"/>
              <w:right w:val="single" w:sz="4" w:space="0" w:color="auto"/>
            </w:tcBorders>
            <w:noWrap/>
            <w:vAlign w:val="center"/>
          </w:tcPr>
          <w:p w:rsidR="00A1224F" w:rsidRPr="009A48DE" w:rsidRDefault="00052519" w:rsidP="00A1224F">
            <w:pPr>
              <w:jc w:val="center"/>
              <w:rPr>
                <w:rFonts w:cstheme="minorHAnsi"/>
                <w:color w:val="000000"/>
                <w:sz w:val="20"/>
              </w:rPr>
            </w:pPr>
            <w:r>
              <w:rPr>
                <w:rFonts w:cstheme="minorHAnsi"/>
                <w:color w:val="000000"/>
                <w:sz w:val="20"/>
              </w:rPr>
              <w:t>1</w:t>
            </w:r>
          </w:p>
        </w:tc>
        <w:tc>
          <w:tcPr>
            <w:tcW w:w="1826" w:type="dxa"/>
            <w:tcBorders>
              <w:top w:val="single" w:sz="8" w:space="0" w:color="auto"/>
              <w:left w:val="single" w:sz="4" w:space="0" w:color="auto"/>
              <w:bottom w:val="single" w:sz="4" w:space="0" w:color="auto"/>
              <w:right w:val="single" w:sz="4" w:space="0" w:color="auto"/>
            </w:tcBorders>
            <w:noWrap/>
            <w:vAlign w:val="center"/>
          </w:tcPr>
          <w:p w:rsidR="00A1224F" w:rsidRPr="00120FE4" w:rsidRDefault="000A7B10" w:rsidP="00A1224F">
            <w:pPr>
              <w:jc w:val="center"/>
              <w:rPr>
                <w:rFonts w:cstheme="minorHAnsi"/>
                <w:color w:val="000000"/>
                <w:szCs w:val="22"/>
              </w:rPr>
            </w:pPr>
            <w:r>
              <w:t xml:space="preserve">TLMW62809210 </w:t>
            </w:r>
          </w:p>
        </w:tc>
        <w:tc>
          <w:tcPr>
            <w:tcW w:w="4251" w:type="dxa"/>
            <w:tcBorders>
              <w:top w:val="single" w:sz="8" w:space="0" w:color="auto"/>
              <w:left w:val="nil"/>
              <w:bottom w:val="single" w:sz="4" w:space="0" w:color="auto"/>
              <w:right w:val="single" w:sz="4" w:space="0" w:color="auto"/>
            </w:tcBorders>
            <w:vAlign w:val="center"/>
          </w:tcPr>
          <w:p w:rsidR="00052519" w:rsidRPr="00120FE4" w:rsidRDefault="000A7B10" w:rsidP="00052519">
            <w:pPr>
              <w:autoSpaceDE w:val="0"/>
              <w:autoSpaceDN w:val="0"/>
              <w:adjustRightInd w:val="0"/>
              <w:spacing w:after="0" w:line="240" w:lineRule="auto"/>
              <w:rPr>
                <w:rFonts w:cstheme="minorHAnsi"/>
                <w:szCs w:val="22"/>
              </w:rPr>
            </w:pPr>
            <w:r>
              <w:t xml:space="preserve">HSSCO-PM(EMP6) TAPER END MILL 24 DEG. FOR FIR TREE FORM 20S, ROUGHING PROFILE </w:t>
            </w:r>
            <w:proofErr w:type="gramStart"/>
            <w:r>
              <w:t>NR,SHANK</w:t>
            </w:r>
            <w:proofErr w:type="gramEnd"/>
            <w:r>
              <w:t xml:space="preserve"> DIA: 40MM(DIN1835-E),WITH INTERNAL COOLANT HOLES,SUPREME COATING N.STD:- SIZE: DIA:14/58.2X104X190,Z=4 DIM.: DIAXLENGTH</w:t>
            </w:r>
          </w:p>
        </w:tc>
        <w:tc>
          <w:tcPr>
            <w:tcW w:w="751" w:type="dxa"/>
            <w:tcBorders>
              <w:top w:val="single" w:sz="8" w:space="0" w:color="auto"/>
              <w:left w:val="nil"/>
              <w:bottom w:val="single" w:sz="4" w:space="0" w:color="auto"/>
              <w:right w:val="nil"/>
            </w:tcBorders>
            <w:vAlign w:val="center"/>
          </w:tcPr>
          <w:p w:rsidR="00A1224F" w:rsidRDefault="000A7B10" w:rsidP="00A1224F">
            <w:pPr>
              <w:jc w:val="center"/>
              <w:rPr>
                <w:rFonts w:ascii="Calibri" w:hAnsi="Calibri" w:cs="Calibri"/>
                <w:color w:val="000000"/>
                <w:szCs w:val="22"/>
              </w:rPr>
            </w:pPr>
            <w:r>
              <w:rPr>
                <w:rFonts w:ascii="Calibri" w:hAnsi="Calibri" w:cs="Calibri"/>
                <w:color w:val="000000"/>
                <w:szCs w:val="22"/>
              </w:rPr>
              <w:t>12</w:t>
            </w:r>
          </w:p>
        </w:tc>
        <w:tc>
          <w:tcPr>
            <w:tcW w:w="708" w:type="dxa"/>
            <w:tcBorders>
              <w:top w:val="single" w:sz="8" w:space="0" w:color="auto"/>
              <w:left w:val="nil"/>
              <w:bottom w:val="single" w:sz="4" w:space="0" w:color="auto"/>
              <w:right w:val="single" w:sz="4" w:space="0" w:color="auto"/>
            </w:tcBorders>
            <w:noWrap/>
            <w:vAlign w:val="center"/>
          </w:tcPr>
          <w:p w:rsidR="00C819BA" w:rsidRPr="003D7F22" w:rsidRDefault="00C819BA" w:rsidP="00A1224F">
            <w:pPr>
              <w:rPr>
                <w:rFonts w:eastAsia="Times New Roman" w:cstheme="minorHAnsi"/>
                <w:color w:val="000000"/>
                <w:sz w:val="24"/>
                <w:szCs w:val="24"/>
                <w:lang w:eastAsia="en-IN"/>
              </w:rPr>
            </w:pPr>
          </w:p>
        </w:tc>
        <w:tc>
          <w:tcPr>
            <w:tcW w:w="1701" w:type="dxa"/>
            <w:tcBorders>
              <w:top w:val="single" w:sz="8" w:space="0" w:color="auto"/>
              <w:left w:val="nil"/>
              <w:bottom w:val="single" w:sz="4" w:space="0" w:color="auto"/>
              <w:right w:val="single" w:sz="4" w:space="0" w:color="auto"/>
            </w:tcBorders>
            <w:vAlign w:val="center"/>
          </w:tcPr>
          <w:p w:rsidR="00C819BA" w:rsidRPr="003D7F22" w:rsidRDefault="000A7B10" w:rsidP="00A1224F">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30.06.24</w:t>
            </w:r>
          </w:p>
        </w:tc>
      </w:tr>
      <w:tr w:rsidR="00C819BA" w:rsidRPr="003D7F22" w:rsidTr="00052519">
        <w:trPr>
          <w:trHeight w:val="210"/>
        </w:trPr>
        <w:tc>
          <w:tcPr>
            <w:tcW w:w="568" w:type="dxa"/>
            <w:tcBorders>
              <w:top w:val="single" w:sz="4" w:space="0" w:color="auto"/>
              <w:left w:val="single" w:sz="8" w:space="0" w:color="auto"/>
              <w:bottom w:val="single" w:sz="4" w:space="0" w:color="auto"/>
              <w:right w:val="single" w:sz="4" w:space="0" w:color="auto"/>
            </w:tcBorders>
            <w:noWrap/>
            <w:vAlign w:val="center"/>
          </w:tcPr>
          <w:p w:rsidR="00C819BA" w:rsidRPr="009A48DE" w:rsidRDefault="00C819BA" w:rsidP="00C819BA">
            <w:pPr>
              <w:jc w:val="center"/>
              <w:rPr>
                <w:rFonts w:cstheme="minorHAnsi"/>
                <w:color w:val="000000"/>
                <w:sz w:val="20"/>
              </w:rPr>
            </w:pPr>
            <w:r>
              <w:rPr>
                <w:rFonts w:cstheme="minorHAnsi"/>
                <w:color w:val="000000"/>
                <w:sz w:val="20"/>
              </w:rPr>
              <w:t>2</w:t>
            </w:r>
          </w:p>
        </w:tc>
        <w:tc>
          <w:tcPr>
            <w:tcW w:w="1826" w:type="dxa"/>
            <w:tcBorders>
              <w:top w:val="single" w:sz="4" w:space="0" w:color="auto"/>
              <w:left w:val="single" w:sz="4" w:space="0" w:color="auto"/>
              <w:bottom w:val="single" w:sz="4" w:space="0" w:color="auto"/>
              <w:right w:val="single" w:sz="4" w:space="0" w:color="auto"/>
            </w:tcBorders>
            <w:noWrap/>
            <w:vAlign w:val="center"/>
          </w:tcPr>
          <w:p w:rsidR="00C819BA" w:rsidRPr="00120FE4" w:rsidRDefault="000A7B10" w:rsidP="00C819BA">
            <w:pPr>
              <w:jc w:val="center"/>
              <w:rPr>
                <w:rFonts w:cstheme="minorHAnsi"/>
                <w:color w:val="000000"/>
                <w:szCs w:val="22"/>
              </w:rPr>
            </w:pPr>
            <w:r>
              <w:t>TLMW62811134</w:t>
            </w:r>
          </w:p>
        </w:tc>
        <w:tc>
          <w:tcPr>
            <w:tcW w:w="4251" w:type="dxa"/>
            <w:tcBorders>
              <w:top w:val="single" w:sz="4" w:space="0" w:color="auto"/>
              <w:left w:val="nil"/>
              <w:bottom w:val="single" w:sz="4" w:space="0" w:color="auto"/>
              <w:right w:val="single" w:sz="4" w:space="0" w:color="auto"/>
            </w:tcBorders>
            <w:vAlign w:val="center"/>
          </w:tcPr>
          <w:p w:rsidR="00C819BA" w:rsidRPr="00120FE4" w:rsidRDefault="000A7B10" w:rsidP="00C819BA">
            <w:pPr>
              <w:autoSpaceDE w:val="0"/>
              <w:autoSpaceDN w:val="0"/>
              <w:adjustRightInd w:val="0"/>
              <w:spacing w:after="0" w:line="240" w:lineRule="auto"/>
              <w:rPr>
                <w:rFonts w:cstheme="minorHAnsi"/>
                <w:szCs w:val="22"/>
              </w:rPr>
            </w:pPr>
            <w:r>
              <w:t>END MILL FOR BOTTOM MILLING FORM 20-2,3RD PHASE, DIAXFLXOAL:20X32X</w:t>
            </w:r>
            <w:proofErr w:type="gramStart"/>
            <w:r>
              <w:t>150,R</w:t>
            </w:r>
            <w:proofErr w:type="gramEnd"/>
            <w:r>
              <w:t>0.8,Z=4, SHANK DIA:25MM WITH WHISTLE NOTCH TAPER DIN 1835-E,MADE OUT OF SOLID CARBIDE, RH CUTTING,RH HELIX,WITH CHIP BREAKER,GROUND RELIEVED, TIALN/SUITABLY COATED SIZE: 20X32X150MM DIM.: DIAXFLXOAL</w:t>
            </w:r>
          </w:p>
        </w:tc>
        <w:tc>
          <w:tcPr>
            <w:tcW w:w="751" w:type="dxa"/>
            <w:tcBorders>
              <w:top w:val="single" w:sz="4" w:space="0" w:color="auto"/>
              <w:left w:val="nil"/>
              <w:bottom w:val="single" w:sz="4" w:space="0" w:color="auto"/>
              <w:right w:val="nil"/>
            </w:tcBorders>
            <w:vAlign w:val="center"/>
          </w:tcPr>
          <w:p w:rsidR="00C819BA" w:rsidRDefault="000A7B10" w:rsidP="00C819BA">
            <w:pPr>
              <w:jc w:val="center"/>
              <w:rPr>
                <w:rFonts w:ascii="Calibri" w:hAnsi="Calibri" w:cs="Calibri"/>
                <w:color w:val="000000"/>
                <w:szCs w:val="22"/>
              </w:rPr>
            </w:pPr>
            <w:r>
              <w:rPr>
                <w:rFonts w:ascii="Calibri" w:hAnsi="Calibri" w:cs="Calibri"/>
                <w:color w:val="000000"/>
                <w:szCs w:val="22"/>
              </w:rPr>
              <w:t>14</w:t>
            </w:r>
          </w:p>
        </w:tc>
        <w:tc>
          <w:tcPr>
            <w:tcW w:w="708" w:type="dxa"/>
            <w:tcBorders>
              <w:top w:val="single" w:sz="4" w:space="0" w:color="auto"/>
              <w:left w:val="nil"/>
              <w:bottom w:val="single" w:sz="4" w:space="0" w:color="auto"/>
              <w:right w:val="single" w:sz="4" w:space="0" w:color="auto"/>
            </w:tcBorders>
            <w:noWrap/>
            <w:vAlign w:val="center"/>
          </w:tcPr>
          <w:p w:rsidR="00C819BA" w:rsidRPr="003D7F22" w:rsidRDefault="00C819BA" w:rsidP="00C819BA">
            <w:pPr>
              <w:rPr>
                <w:rFonts w:eastAsia="Times New Roman" w:cstheme="minorHAnsi"/>
                <w:color w:val="000000"/>
                <w:sz w:val="24"/>
                <w:szCs w:val="24"/>
                <w:lang w:eastAsia="en-IN"/>
              </w:rPr>
            </w:pPr>
          </w:p>
        </w:tc>
        <w:tc>
          <w:tcPr>
            <w:tcW w:w="1701" w:type="dxa"/>
            <w:tcBorders>
              <w:top w:val="single" w:sz="4" w:space="0" w:color="auto"/>
              <w:left w:val="nil"/>
              <w:bottom w:val="single" w:sz="4" w:space="0" w:color="auto"/>
              <w:right w:val="single" w:sz="4" w:space="0" w:color="auto"/>
            </w:tcBorders>
            <w:vAlign w:val="center"/>
          </w:tcPr>
          <w:p w:rsidR="00C819BA" w:rsidRPr="003D7F22" w:rsidRDefault="000A7B10" w:rsidP="00BE26E4">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30.06.24</w:t>
            </w:r>
          </w:p>
        </w:tc>
      </w:tr>
      <w:tr w:rsidR="00C819BA" w:rsidRPr="003D7F22" w:rsidTr="00052519">
        <w:trPr>
          <w:trHeight w:val="450"/>
        </w:trPr>
        <w:tc>
          <w:tcPr>
            <w:tcW w:w="568" w:type="dxa"/>
            <w:tcBorders>
              <w:top w:val="single" w:sz="4" w:space="0" w:color="auto"/>
              <w:left w:val="single" w:sz="8" w:space="0" w:color="auto"/>
              <w:bottom w:val="single" w:sz="8" w:space="0" w:color="auto"/>
              <w:right w:val="single" w:sz="4" w:space="0" w:color="auto"/>
            </w:tcBorders>
            <w:noWrap/>
            <w:vAlign w:val="center"/>
          </w:tcPr>
          <w:p w:rsidR="00C819BA" w:rsidRPr="009A48DE" w:rsidRDefault="00C819BA" w:rsidP="00C819BA">
            <w:pPr>
              <w:jc w:val="center"/>
              <w:rPr>
                <w:rFonts w:cstheme="minorHAnsi"/>
                <w:color w:val="000000"/>
                <w:sz w:val="20"/>
              </w:rPr>
            </w:pPr>
            <w:r>
              <w:rPr>
                <w:rFonts w:cstheme="minorHAnsi"/>
                <w:color w:val="000000"/>
                <w:sz w:val="20"/>
              </w:rPr>
              <w:lastRenderedPageBreak/>
              <w:t>3</w:t>
            </w:r>
          </w:p>
        </w:tc>
        <w:tc>
          <w:tcPr>
            <w:tcW w:w="1826" w:type="dxa"/>
            <w:tcBorders>
              <w:top w:val="single" w:sz="4" w:space="0" w:color="auto"/>
              <w:left w:val="single" w:sz="4" w:space="0" w:color="auto"/>
              <w:bottom w:val="single" w:sz="8" w:space="0" w:color="auto"/>
              <w:right w:val="single" w:sz="4" w:space="0" w:color="auto"/>
            </w:tcBorders>
            <w:noWrap/>
            <w:vAlign w:val="center"/>
          </w:tcPr>
          <w:p w:rsidR="00C819BA" w:rsidRPr="00120FE4" w:rsidRDefault="000A7B10" w:rsidP="00C819BA">
            <w:pPr>
              <w:jc w:val="center"/>
              <w:rPr>
                <w:rFonts w:cstheme="minorHAnsi"/>
                <w:color w:val="000000"/>
                <w:szCs w:val="22"/>
              </w:rPr>
            </w:pPr>
            <w:r>
              <w:t>TLMW62811142</w:t>
            </w:r>
          </w:p>
        </w:tc>
        <w:tc>
          <w:tcPr>
            <w:tcW w:w="4251" w:type="dxa"/>
            <w:tcBorders>
              <w:top w:val="single" w:sz="4" w:space="0" w:color="auto"/>
              <w:left w:val="nil"/>
              <w:bottom w:val="single" w:sz="8" w:space="0" w:color="auto"/>
              <w:right w:val="single" w:sz="4" w:space="0" w:color="auto"/>
            </w:tcBorders>
            <w:vAlign w:val="center"/>
          </w:tcPr>
          <w:p w:rsidR="00C819BA" w:rsidRPr="00120FE4" w:rsidRDefault="000A7B10" w:rsidP="00C819BA">
            <w:pPr>
              <w:autoSpaceDE w:val="0"/>
              <w:autoSpaceDN w:val="0"/>
              <w:adjustRightInd w:val="0"/>
              <w:spacing w:after="0" w:line="240" w:lineRule="auto"/>
              <w:rPr>
                <w:rFonts w:cstheme="minorHAnsi"/>
                <w:szCs w:val="22"/>
              </w:rPr>
            </w:pPr>
            <w:r>
              <w:t>END MILL FOR LOCKING GROOVE, FORM 20-2,4TH PHASE, DIAXFLXOAL:17.2X24X155MM, R</w:t>
            </w:r>
            <w:proofErr w:type="gramStart"/>
            <w:r>
              <w:t>2,Z</w:t>
            </w:r>
            <w:proofErr w:type="gramEnd"/>
            <w:r>
              <w:t>=3,SHANK DIA 25MM WITH WHISTLE NOTCH TAPER DIN 1835-E ,MADE OUT OF SOLID CARBIDE, RH CUTTING,RH HELIX, GROUND RELIEVED, TIALN/SUITABLY COATED SIZE: 17.2X24X155MM DIM.: DIAXFLXOAL</w:t>
            </w:r>
          </w:p>
        </w:tc>
        <w:tc>
          <w:tcPr>
            <w:tcW w:w="751" w:type="dxa"/>
            <w:tcBorders>
              <w:top w:val="single" w:sz="4" w:space="0" w:color="auto"/>
              <w:left w:val="nil"/>
              <w:bottom w:val="single" w:sz="8" w:space="0" w:color="auto"/>
              <w:right w:val="nil"/>
            </w:tcBorders>
            <w:vAlign w:val="center"/>
          </w:tcPr>
          <w:p w:rsidR="00C819BA" w:rsidRDefault="000A7B10" w:rsidP="00C819BA">
            <w:pPr>
              <w:jc w:val="center"/>
              <w:rPr>
                <w:rFonts w:ascii="Calibri" w:hAnsi="Calibri" w:cs="Calibri"/>
                <w:color w:val="000000"/>
                <w:szCs w:val="22"/>
              </w:rPr>
            </w:pPr>
            <w:r>
              <w:rPr>
                <w:rFonts w:ascii="Calibri" w:hAnsi="Calibri" w:cs="Calibri"/>
                <w:color w:val="000000"/>
                <w:szCs w:val="22"/>
              </w:rPr>
              <w:t>14</w:t>
            </w:r>
          </w:p>
        </w:tc>
        <w:tc>
          <w:tcPr>
            <w:tcW w:w="708" w:type="dxa"/>
            <w:tcBorders>
              <w:top w:val="single" w:sz="4" w:space="0" w:color="auto"/>
              <w:left w:val="nil"/>
              <w:bottom w:val="single" w:sz="8" w:space="0" w:color="auto"/>
              <w:right w:val="single" w:sz="4" w:space="0" w:color="auto"/>
            </w:tcBorders>
            <w:noWrap/>
            <w:vAlign w:val="center"/>
          </w:tcPr>
          <w:p w:rsidR="00C819BA" w:rsidRPr="003D7F22" w:rsidRDefault="00C819BA" w:rsidP="00C819BA">
            <w:pPr>
              <w:rPr>
                <w:rFonts w:eastAsia="Times New Roman" w:cstheme="minorHAnsi"/>
                <w:color w:val="000000"/>
                <w:sz w:val="24"/>
                <w:szCs w:val="24"/>
                <w:lang w:eastAsia="en-IN"/>
              </w:rPr>
            </w:pPr>
          </w:p>
        </w:tc>
        <w:tc>
          <w:tcPr>
            <w:tcW w:w="1701" w:type="dxa"/>
            <w:tcBorders>
              <w:top w:val="single" w:sz="4" w:space="0" w:color="auto"/>
              <w:left w:val="nil"/>
              <w:bottom w:val="single" w:sz="8" w:space="0" w:color="auto"/>
              <w:right w:val="single" w:sz="4" w:space="0" w:color="auto"/>
            </w:tcBorders>
            <w:vAlign w:val="center"/>
          </w:tcPr>
          <w:p w:rsidR="00C819BA" w:rsidRPr="003D7F22" w:rsidRDefault="000A7B10" w:rsidP="00BE26E4">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30.06.24</w:t>
            </w:r>
          </w:p>
        </w:tc>
      </w:tr>
      <w:tr w:rsidR="00C819BA" w:rsidRPr="003D7F22" w:rsidTr="006A5C37">
        <w:trPr>
          <w:trHeight w:val="540"/>
        </w:trPr>
        <w:tc>
          <w:tcPr>
            <w:tcW w:w="568" w:type="dxa"/>
            <w:tcBorders>
              <w:top w:val="single" w:sz="8" w:space="0" w:color="auto"/>
              <w:left w:val="single" w:sz="8" w:space="0" w:color="auto"/>
              <w:bottom w:val="single" w:sz="4" w:space="0" w:color="auto"/>
              <w:right w:val="single" w:sz="4" w:space="0" w:color="auto"/>
            </w:tcBorders>
            <w:noWrap/>
            <w:vAlign w:val="center"/>
          </w:tcPr>
          <w:p w:rsidR="00C819BA" w:rsidRPr="009A48DE" w:rsidRDefault="00C819BA" w:rsidP="00C819BA">
            <w:pPr>
              <w:jc w:val="center"/>
              <w:rPr>
                <w:rFonts w:cstheme="minorHAnsi"/>
                <w:color w:val="000000"/>
                <w:sz w:val="20"/>
              </w:rPr>
            </w:pPr>
            <w:r>
              <w:rPr>
                <w:rFonts w:cstheme="minorHAnsi"/>
                <w:color w:val="000000"/>
                <w:sz w:val="20"/>
              </w:rPr>
              <w:t>4</w:t>
            </w:r>
          </w:p>
        </w:tc>
        <w:tc>
          <w:tcPr>
            <w:tcW w:w="1826" w:type="dxa"/>
            <w:tcBorders>
              <w:top w:val="single" w:sz="8" w:space="0" w:color="auto"/>
              <w:left w:val="single" w:sz="4" w:space="0" w:color="auto"/>
              <w:bottom w:val="single" w:sz="4" w:space="0" w:color="auto"/>
              <w:right w:val="single" w:sz="4" w:space="0" w:color="auto"/>
            </w:tcBorders>
            <w:noWrap/>
            <w:vAlign w:val="center"/>
          </w:tcPr>
          <w:p w:rsidR="00C819BA" w:rsidRPr="00120FE4" w:rsidRDefault="000A7B10" w:rsidP="00C819BA">
            <w:pPr>
              <w:rPr>
                <w:rFonts w:cstheme="minorHAnsi"/>
                <w:szCs w:val="22"/>
              </w:rPr>
            </w:pPr>
            <w:r>
              <w:t>TLMW62811150</w:t>
            </w:r>
          </w:p>
        </w:tc>
        <w:tc>
          <w:tcPr>
            <w:tcW w:w="4251" w:type="dxa"/>
            <w:tcBorders>
              <w:top w:val="single" w:sz="8" w:space="0" w:color="auto"/>
              <w:left w:val="nil"/>
              <w:bottom w:val="single" w:sz="4" w:space="0" w:color="auto"/>
              <w:right w:val="single" w:sz="4" w:space="0" w:color="auto"/>
            </w:tcBorders>
            <w:vAlign w:val="center"/>
          </w:tcPr>
          <w:p w:rsidR="00C819BA" w:rsidRPr="00120FE4" w:rsidRDefault="000A7B10" w:rsidP="00C819BA">
            <w:pPr>
              <w:autoSpaceDE w:val="0"/>
              <w:autoSpaceDN w:val="0"/>
              <w:adjustRightInd w:val="0"/>
              <w:spacing w:after="0" w:line="240" w:lineRule="auto"/>
              <w:rPr>
                <w:rFonts w:cstheme="minorHAnsi"/>
                <w:color w:val="000000"/>
                <w:szCs w:val="22"/>
              </w:rPr>
            </w:pPr>
            <w:r>
              <w:t xml:space="preserve"> FULL FORM PROFILE ROUGHING CUTTER FOR FIRTREE GROOVE PROFILE FORM 20-</w:t>
            </w:r>
            <w:proofErr w:type="gramStart"/>
            <w:r>
              <w:t>2,MADE</w:t>
            </w:r>
            <w:proofErr w:type="gramEnd"/>
            <w:r>
              <w:t xml:space="preserve"> OUT OF HSS PM30/S390/HSS-CO PM(EMP6), RH CUTTING,RH HELIX,SUITABLE RAKE,Z=4,HELICAL FLUTES,GROUND ROUGHING PROFILE NRF/ROUGHING THREAD,CHIP BREAKER,TIALN/ SUITABLE COATING,INT.COOLANT HOLES &amp; BT50 INTEGRAL SHANK SIZE: FORM 20-2 DIM.: GROOVE FORM</w:t>
            </w:r>
          </w:p>
        </w:tc>
        <w:tc>
          <w:tcPr>
            <w:tcW w:w="751" w:type="dxa"/>
            <w:tcBorders>
              <w:top w:val="single" w:sz="8" w:space="0" w:color="auto"/>
              <w:left w:val="nil"/>
              <w:bottom w:val="single" w:sz="4" w:space="0" w:color="auto"/>
              <w:right w:val="nil"/>
            </w:tcBorders>
            <w:vAlign w:val="center"/>
          </w:tcPr>
          <w:p w:rsidR="00C819BA" w:rsidRDefault="000A7B10" w:rsidP="00C819BA">
            <w:pPr>
              <w:jc w:val="center"/>
              <w:rPr>
                <w:rFonts w:ascii="Calibri" w:hAnsi="Calibri" w:cs="Calibri"/>
                <w:color w:val="000000"/>
                <w:szCs w:val="22"/>
              </w:rPr>
            </w:pPr>
            <w:r>
              <w:rPr>
                <w:rFonts w:ascii="Calibri" w:hAnsi="Calibri" w:cs="Calibri"/>
                <w:color w:val="000000"/>
                <w:szCs w:val="22"/>
              </w:rPr>
              <w:t>26</w:t>
            </w:r>
          </w:p>
        </w:tc>
        <w:tc>
          <w:tcPr>
            <w:tcW w:w="708" w:type="dxa"/>
            <w:tcBorders>
              <w:top w:val="single" w:sz="8" w:space="0" w:color="auto"/>
              <w:left w:val="nil"/>
              <w:bottom w:val="single" w:sz="4" w:space="0" w:color="auto"/>
              <w:right w:val="single" w:sz="4" w:space="0" w:color="auto"/>
            </w:tcBorders>
            <w:noWrap/>
            <w:vAlign w:val="center"/>
          </w:tcPr>
          <w:p w:rsidR="00C819BA" w:rsidRPr="003D7F22" w:rsidRDefault="00C819BA" w:rsidP="00C819BA">
            <w:pPr>
              <w:rPr>
                <w:rFonts w:eastAsia="Times New Roman" w:cstheme="minorHAnsi"/>
                <w:color w:val="000000"/>
                <w:sz w:val="24"/>
                <w:szCs w:val="24"/>
                <w:lang w:eastAsia="en-IN"/>
              </w:rPr>
            </w:pPr>
          </w:p>
        </w:tc>
        <w:tc>
          <w:tcPr>
            <w:tcW w:w="1701" w:type="dxa"/>
            <w:tcBorders>
              <w:top w:val="single" w:sz="8" w:space="0" w:color="auto"/>
              <w:left w:val="nil"/>
              <w:bottom w:val="single" w:sz="4" w:space="0" w:color="auto"/>
              <w:right w:val="single" w:sz="4" w:space="0" w:color="auto"/>
            </w:tcBorders>
            <w:vAlign w:val="center"/>
          </w:tcPr>
          <w:p w:rsidR="00C819BA" w:rsidRPr="003D7F22" w:rsidRDefault="000A7B10" w:rsidP="00BE26E4">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30.06.24</w:t>
            </w:r>
          </w:p>
        </w:tc>
      </w:tr>
      <w:tr w:rsidR="00C819BA" w:rsidRPr="003D7F22" w:rsidTr="006A5C37">
        <w:trPr>
          <w:trHeight w:val="345"/>
        </w:trPr>
        <w:tc>
          <w:tcPr>
            <w:tcW w:w="568" w:type="dxa"/>
            <w:tcBorders>
              <w:top w:val="single" w:sz="4" w:space="0" w:color="auto"/>
              <w:left w:val="single" w:sz="8" w:space="0" w:color="auto"/>
              <w:bottom w:val="single" w:sz="4" w:space="0" w:color="auto"/>
              <w:right w:val="single" w:sz="4" w:space="0" w:color="auto"/>
            </w:tcBorders>
            <w:noWrap/>
            <w:vAlign w:val="center"/>
          </w:tcPr>
          <w:p w:rsidR="00C819BA" w:rsidRPr="009A48DE" w:rsidRDefault="00C819BA" w:rsidP="00C819BA">
            <w:pPr>
              <w:jc w:val="center"/>
              <w:rPr>
                <w:rFonts w:cstheme="minorHAnsi"/>
                <w:color w:val="000000"/>
                <w:sz w:val="20"/>
              </w:rPr>
            </w:pPr>
            <w:r>
              <w:rPr>
                <w:rFonts w:cstheme="minorHAnsi"/>
                <w:color w:val="000000"/>
                <w:sz w:val="20"/>
              </w:rPr>
              <w:t>5</w:t>
            </w:r>
          </w:p>
        </w:tc>
        <w:tc>
          <w:tcPr>
            <w:tcW w:w="1826" w:type="dxa"/>
            <w:tcBorders>
              <w:top w:val="single" w:sz="4" w:space="0" w:color="auto"/>
              <w:left w:val="single" w:sz="4" w:space="0" w:color="auto"/>
              <w:bottom w:val="single" w:sz="4" w:space="0" w:color="auto"/>
              <w:right w:val="single" w:sz="4" w:space="0" w:color="auto"/>
            </w:tcBorders>
            <w:noWrap/>
            <w:vAlign w:val="center"/>
          </w:tcPr>
          <w:p w:rsidR="00C819BA" w:rsidRPr="00120FE4" w:rsidRDefault="000A7B10" w:rsidP="00C819BA">
            <w:pPr>
              <w:rPr>
                <w:rFonts w:cstheme="minorHAnsi"/>
                <w:szCs w:val="22"/>
              </w:rPr>
            </w:pPr>
            <w:r>
              <w:t>TLMW62811169</w:t>
            </w:r>
          </w:p>
        </w:tc>
        <w:tc>
          <w:tcPr>
            <w:tcW w:w="4251" w:type="dxa"/>
            <w:tcBorders>
              <w:top w:val="single" w:sz="4" w:space="0" w:color="auto"/>
              <w:left w:val="nil"/>
              <w:bottom w:val="single" w:sz="4" w:space="0" w:color="auto"/>
              <w:right w:val="single" w:sz="4" w:space="0" w:color="auto"/>
            </w:tcBorders>
            <w:vAlign w:val="center"/>
          </w:tcPr>
          <w:p w:rsidR="00C819BA" w:rsidRPr="00120FE4" w:rsidRDefault="000A7B10" w:rsidP="00C819BA">
            <w:pPr>
              <w:autoSpaceDE w:val="0"/>
              <w:autoSpaceDN w:val="0"/>
              <w:adjustRightInd w:val="0"/>
              <w:spacing w:after="0" w:line="240" w:lineRule="auto"/>
              <w:rPr>
                <w:rFonts w:cstheme="minorHAnsi"/>
                <w:color w:val="000000"/>
                <w:szCs w:val="22"/>
              </w:rPr>
            </w:pPr>
            <w:r>
              <w:t>FULL FORM PROFILE FINISHING CUTTER FOR FIRTREE GROOVE PROFILE FORM 20-</w:t>
            </w:r>
            <w:proofErr w:type="gramStart"/>
            <w:r>
              <w:t>2,MADE</w:t>
            </w:r>
            <w:proofErr w:type="gramEnd"/>
            <w:r>
              <w:t xml:space="preserve"> OUT OF HSS PM30/S390/HSS-CO PM(EMP6), RH CUTTING,RH HELIX,SUITABLE RAKE,Z=4,HELICAL FLUTES,GROUND RELIEVED,WITH TIALN/SUITABLE COATING, INT.COOLANT HOLES &amp; BT50 INTEGRAL SHANK SIZE: FORM 20-2 DIM.: GROOVE FORM</w:t>
            </w:r>
          </w:p>
        </w:tc>
        <w:tc>
          <w:tcPr>
            <w:tcW w:w="751" w:type="dxa"/>
            <w:tcBorders>
              <w:top w:val="single" w:sz="4" w:space="0" w:color="auto"/>
              <w:left w:val="nil"/>
              <w:bottom w:val="single" w:sz="4" w:space="0" w:color="auto"/>
              <w:right w:val="nil"/>
            </w:tcBorders>
            <w:vAlign w:val="center"/>
          </w:tcPr>
          <w:p w:rsidR="00C819BA" w:rsidRDefault="00C819BA" w:rsidP="00C819BA">
            <w:pPr>
              <w:jc w:val="center"/>
              <w:rPr>
                <w:rFonts w:ascii="Calibri" w:hAnsi="Calibri" w:cs="Calibri"/>
                <w:color w:val="000000"/>
                <w:szCs w:val="22"/>
              </w:rPr>
            </w:pPr>
          </w:p>
        </w:tc>
        <w:tc>
          <w:tcPr>
            <w:tcW w:w="708" w:type="dxa"/>
            <w:tcBorders>
              <w:top w:val="single" w:sz="4" w:space="0" w:color="auto"/>
              <w:left w:val="nil"/>
              <w:bottom w:val="single" w:sz="4" w:space="0" w:color="auto"/>
              <w:right w:val="single" w:sz="4" w:space="0" w:color="auto"/>
            </w:tcBorders>
            <w:noWrap/>
            <w:vAlign w:val="center"/>
          </w:tcPr>
          <w:p w:rsidR="00C819BA" w:rsidRPr="003D7F22" w:rsidRDefault="000A7B10" w:rsidP="00C819BA">
            <w:pPr>
              <w:rPr>
                <w:rFonts w:eastAsia="Times New Roman" w:cstheme="minorHAnsi"/>
                <w:color w:val="000000"/>
                <w:sz w:val="24"/>
                <w:szCs w:val="24"/>
                <w:lang w:eastAsia="en-IN"/>
              </w:rPr>
            </w:pPr>
            <w:r>
              <w:rPr>
                <w:rFonts w:eastAsia="Times New Roman" w:cstheme="minorHAnsi"/>
                <w:color w:val="000000"/>
                <w:sz w:val="24"/>
                <w:szCs w:val="24"/>
                <w:lang w:eastAsia="en-IN"/>
              </w:rPr>
              <w:t>36</w:t>
            </w:r>
          </w:p>
        </w:tc>
        <w:tc>
          <w:tcPr>
            <w:tcW w:w="1701" w:type="dxa"/>
            <w:tcBorders>
              <w:top w:val="single" w:sz="4" w:space="0" w:color="auto"/>
              <w:left w:val="nil"/>
              <w:bottom w:val="single" w:sz="4" w:space="0" w:color="auto"/>
              <w:right w:val="single" w:sz="4" w:space="0" w:color="auto"/>
            </w:tcBorders>
            <w:vAlign w:val="center"/>
          </w:tcPr>
          <w:p w:rsidR="00C819BA" w:rsidRPr="003D7F22" w:rsidRDefault="000A7B10" w:rsidP="00BE26E4">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30.06.24</w:t>
            </w:r>
          </w:p>
        </w:tc>
      </w:tr>
    </w:tbl>
    <w:p w:rsidR="00CE5E04" w:rsidRDefault="00CE5E04" w:rsidP="00BA7003">
      <w:pPr>
        <w:autoSpaceDE w:val="0"/>
        <w:autoSpaceDN w:val="0"/>
        <w:adjustRightInd w:val="0"/>
        <w:spacing w:after="0" w:line="240" w:lineRule="auto"/>
        <w:rPr>
          <w:rFonts w:ascii="Times New Roman" w:hAnsi="Times New Roman" w:cs="Times New Roman"/>
          <w:sz w:val="24"/>
          <w:szCs w:val="24"/>
        </w:rPr>
      </w:pPr>
    </w:p>
    <w:p w:rsidR="00DC5138" w:rsidRDefault="00DC5138" w:rsidP="00BA7003">
      <w:pPr>
        <w:autoSpaceDE w:val="0"/>
        <w:autoSpaceDN w:val="0"/>
        <w:adjustRightInd w:val="0"/>
        <w:spacing w:after="0" w:line="240" w:lineRule="auto"/>
        <w:rPr>
          <w:rFonts w:ascii="Times New Roman" w:hAnsi="Times New Roman" w:cs="Times New Roman"/>
          <w:sz w:val="24"/>
          <w:szCs w:val="24"/>
        </w:rPr>
      </w:pPr>
    </w:p>
    <w:p w:rsidR="000A7B10" w:rsidRDefault="000A7B10" w:rsidP="00BA7003">
      <w:pPr>
        <w:autoSpaceDE w:val="0"/>
        <w:autoSpaceDN w:val="0"/>
        <w:adjustRightInd w:val="0"/>
        <w:spacing w:after="0" w:line="240" w:lineRule="auto"/>
        <w:rPr>
          <w:rFonts w:ascii="Times New Roman" w:hAnsi="Times New Roman" w:cs="Times New Roman"/>
          <w:sz w:val="24"/>
          <w:szCs w:val="24"/>
        </w:rPr>
      </w:pPr>
    </w:p>
    <w:p w:rsidR="0052186D" w:rsidRDefault="004411C1" w:rsidP="004411C1">
      <w:pPr>
        <w:ind w:left="-567"/>
        <w:jc w:val="both"/>
        <w:rPr>
          <w:rFonts w:ascii="Georgia" w:hAnsi="Georgia" w:cstheme="minorHAnsi"/>
          <w:sz w:val="19"/>
          <w:szCs w:val="19"/>
        </w:rPr>
      </w:pPr>
      <w:r>
        <w:rPr>
          <w:rFonts w:ascii="Georgia" w:hAnsi="Georgia" w:cstheme="minorHAnsi"/>
          <w:sz w:val="19"/>
          <w:szCs w:val="19"/>
        </w:rPr>
        <w:t xml:space="preserve">             </w:t>
      </w:r>
    </w:p>
    <w:p w:rsidR="00336FAA" w:rsidRDefault="0052186D" w:rsidP="00C819BA">
      <w:pPr>
        <w:ind w:left="-567"/>
        <w:jc w:val="both"/>
        <w:rPr>
          <w:rFonts w:ascii="Times New Roman" w:hAnsi="Times New Roman" w:cs="Times New Roman"/>
          <w:sz w:val="32"/>
          <w:szCs w:val="32"/>
        </w:rPr>
      </w:pPr>
      <w:r>
        <w:rPr>
          <w:rFonts w:ascii="Georgia" w:hAnsi="Georgia" w:cstheme="minorHAnsi"/>
          <w:sz w:val="19"/>
          <w:szCs w:val="19"/>
        </w:rPr>
        <w:t xml:space="preserve">                 </w:t>
      </w:r>
      <w:r w:rsidR="004411C1">
        <w:rPr>
          <w:rFonts w:ascii="Georgia" w:hAnsi="Georgia" w:cstheme="minorHAnsi"/>
          <w:sz w:val="19"/>
          <w:szCs w:val="19"/>
        </w:rPr>
        <w:t xml:space="preserve"> </w:t>
      </w:r>
      <w:r w:rsidR="004411C1" w:rsidRPr="00AC74A3">
        <w:rPr>
          <w:rFonts w:ascii="Times New Roman" w:hAnsi="Times New Roman" w:cs="Times New Roman"/>
          <w:sz w:val="32"/>
          <w:szCs w:val="32"/>
        </w:rPr>
        <w:t>All bidders to confirm below details as:</w:t>
      </w:r>
    </w:p>
    <w:p w:rsidR="00C213CC" w:rsidRPr="00AC74A3" w:rsidRDefault="00C213CC" w:rsidP="00C213CC">
      <w:pPr>
        <w:ind w:left="-567"/>
        <w:jc w:val="both"/>
        <w:rPr>
          <w:rFonts w:ascii="Times New Roman" w:hAnsi="Times New Roman" w:cs="Times New Roman"/>
          <w:sz w:val="32"/>
          <w:szCs w:val="32"/>
        </w:rPr>
      </w:pPr>
      <w:r w:rsidRPr="00AC74A3">
        <w:rPr>
          <w:rFonts w:ascii="Times New Roman" w:hAnsi="Times New Roman" w:cs="Times New Roman"/>
          <w:sz w:val="32"/>
          <w:szCs w:val="32"/>
        </w:rPr>
        <w:t>s:</w:t>
      </w:r>
    </w:p>
    <w:p w:rsidR="00C213CC" w:rsidRPr="00AC74A3" w:rsidRDefault="00C213CC" w:rsidP="00C213CC">
      <w:pPr>
        <w:pStyle w:val="ListParagraph"/>
        <w:numPr>
          <w:ilvl w:val="0"/>
          <w:numId w:val="42"/>
        </w:numPr>
        <w:autoSpaceDE w:val="0"/>
        <w:autoSpaceDN w:val="0"/>
        <w:adjustRightInd w:val="0"/>
        <w:spacing w:after="0" w:line="240" w:lineRule="auto"/>
        <w:rPr>
          <w:rFonts w:ascii="Times New Roman" w:hAnsi="Times New Roman" w:cs="Times New Roman"/>
          <w:sz w:val="32"/>
          <w:szCs w:val="32"/>
        </w:rPr>
      </w:pPr>
      <w:r w:rsidRPr="00AC74A3">
        <w:rPr>
          <w:rFonts w:ascii="Times New Roman" w:hAnsi="Times New Roman" w:cs="Times New Roman"/>
          <w:sz w:val="32"/>
          <w:szCs w:val="32"/>
        </w:rPr>
        <w:t xml:space="preserve">GST rate applicable (Inclusive of GST only): </w:t>
      </w:r>
      <w:r>
        <w:rPr>
          <w:rFonts w:ascii="Times New Roman" w:hAnsi="Times New Roman" w:cs="Times New Roman"/>
          <w:sz w:val="32"/>
          <w:szCs w:val="32"/>
        </w:rPr>
        <w:t>..............</w:t>
      </w:r>
      <w:r w:rsidRPr="00AC74A3">
        <w:rPr>
          <w:rFonts w:ascii="Times New Roman" w:hAnsi="Times New Roman" w:cs="Times New Roman"/>
          <w:sz w:val="32"/>
          <w:szCs w:val="32"/>
        </w:rPr>
        <w:t>%</w:t>
      </w:r>
    </w:p>
    <w:p w:rsidR="00C213CC" w:rsidRPr="00AC74A3" w:rsidRDefault="00C213CC" w:rsidP="00C213CC">
      <w:pPr>
        <w:pStyle w:val="ListParagraph"/>
        <w:numPr>
          <w:ilvl w:val="0"/>
          <w:numId w:val="42"/>
        </w:numPr>
        <w:autoSpaceDE w:val="0"/>
        <w:autoSpaceDN w:val="0"/>
        <w:adjustRightInd w:val="0"/>
        <w:spacing w:after="0" w:line="240" w:lineRule="auto"/>
        <w:rPr>
          <w:rFonts w:ascii="Times New Roman" w:hAnsi="Times New Roman" w:cs="Times New Roman"/>
          <w:sz w:val="32"/>
          <w:szCs w:val="32"/>
        </w:rPr>
      </w:pPr>
      <w:r w:rsidRPr="00AC74A3">
        <w:rPr>
          <w:rFonts w:ascii="Times New Roman" w:hAnsi="Times New Roman" w:cs="Times New Roman"/>
          <w:sz w:val="32"/>
          <w:szCs w:val="32"/>
        </w:rPr>
        <w:t>Delivery period as per GeM shall be applicable.</w:t>
      </w:r>
    </w:p>
    <w:p w:rsidR="00C213CC" w:rsidRDefault="00C213CC" w:rsidP="00C213CC">
      <w:pPr>
        <w:pStyle w:val="ListParagraph"/>
        <w:numPr>
          <w:ilvl w:val="0"/>
          <w:numId w:val="42"/>
        </w:numPr>
        <w:autoSpaceDE w:val="0"/>
        <w:autoSpaceDN w:val="0"/>
        <w:adjustRightInd w:val="0"/>
        <w:spacing w:after="0" w:line="240" w:lineRule="auto"/>
        <w:rPr>
          <w:rFonts w:ascii="Times New Roman" w:hAnsi="Times New Roman" w:cs="Times New Roman"/>
          <w:sz w:val="32"/>
          <w:szCs w:val="32"/>
        </w:rPr>
      </w:pPr>
      <w:r w:rsidRPr="00AC74A3">
        <w:rPr>
          <w:rFonts w:ascii="Times New Roman" w:hAnsi="Times New Roman" w:cs="Times New Roman"/>
          <w:sz w:val="32"/>
          <w:szCs w:val="32"/>
        </w:rPr>
        <w:t>All terms and conditions as per GeM shall be applicable.</w:t>
      </w:r>
    </w:p>
    <w:p w:rsidR="00C213CC" w:rsidRPr="00C213CC" w:rsidRDefault="00C213CC" w:rsidP="00C213CC">
      <w:pPr>
        <w:autoSpaceDE w:val="0"/>
        <w:autoSpaceDN w:val="0"/>
        <w:adjustRightInd w:val="0"/>
        <w:spacing w:after="0" w:line="240" w:lineRule="auto"/>
        <w:rPr>
          <w:rFonts w:ascii="Times New Roman" w:hAnsi="Times New Roman" w:cs="Times New Roman"/>
          <w:sz w:val="32"/>
          <w:szCs w:val="32"/>
        </w:rPr>
      </w:pPr>
    </w:p>
    <w:p w:rsidR="00EB3921" w:rsidRDefault="00EB3921" w:rsidP="004411C1">
      <w:pPr>
        <w:ind w:left="-567"/>
        <w:jc w:val="right"/>
        <w:rPr>
          <w:rFonts w:ascii="Georgia" w:hAnsi="Georgia" w:cstheme="minorHAnsi"/>
          <w:sz w:val="19"/>
          <w:szCs w:val="19"/>
        </w:rPr>
      </w:pPr>
    </w:p>
    <w:p w:rsidR="00EB3921" w:rsidRDefault="00EB3921" w:rsidP="004411C1">
      <w:pPr>
        <w:ind w:left="-567"/>
        <w:jc w:val="right"/>
        <w:rPr>
          <w:rFonts w:ascii="Georgia" w:hAnsi="Georgia" w:cstheme="minorHAnsi"/>
          <w:sz w:val="19"/>
          <w:szCs w:val="19"/>
        </w:rPr>
      </w:pPr>
    </w:p>
    <w:p w:rsidR="004411C1" w:rsidRDefault="004411C1" w:rsidP="004411C1">
      <w:pPr>
        <w:ind w:left="-567"/>
        <w:jc w:val="right"/>
        <w:rPr>
          <w:rFonts w:ascii="Georgia" w:hAnsi="Georgia" w:cstheme="minorHAnsi"/>
          <w:sz w:val="19"/>
          <w:szCs w:val="19"/>
        </w:rPr>
      </w:pPr>
      <w:r w:rsidRPr="0012716B">
        <w:rPr>
          <w:rFonts w:ascii="Georgia" w:hAnsi="Georgia" w:cstheme="minorHAnsi"/>
          <w:sz w:val="19"/>
          <w:szCs w:val="19"/>
        </w:rPr>
        <w:t xml:space="preserve">                                                                                                                                                                                                                                                         </w:t>
      </w:r>
      <w:r>
        <w:rPr>
          <w:rFonts w:ascii="Georgia" w:hAnsi="Georgia" w:cstheme="minorHAnsi"/>
          <w:sz w:val="19"/>
          <w:szCs w:val="19"/>
        </w:rPr>
        <w:t xml:space="preserve">      </w:t>
      </w:r>
    </w:p>
    <w:p w:rsidR="004411C1" w:rsidRDefault="004411C1" w:rsidP="004411C1">
      <w:pPr>
        <w:ind w:left="-567"/>
        <w:jc w:val="right"/>
        <w:rPr>
          <w:rFonts w:ascii="Georgia" w:hAnsi="Georgia" w:cstheme="minorHAnsi"/>
          <w:b/>
          <w:bCs/>
          <w:sz w:val="19"/>
          <w:szCs w:val="19"/>
        </w:rPr>
      </w:pPr>
    </w:p>
    <w:p w:rsidR="0002293B" w:rsidRDefault="004411C1" w:rsidP="008C3789">
      <w:pPr>
        <w:ind w:left="-567"/>
        <w:jc w:val="right"/>
        <w:rPr>
          <w:rFonts w:ascii="Times New Roman" w:hAnsi="Times New Roman" w:cs="Times New Roman"/>
          <w:sz w:val="24"/>
          <w:szCs w:val="24"/>
        </w:rPr>
      </w:pPr>
      <w:r>
        <w:rPr>
          <w:rFonts w:ascii="Georgia" w:hAnsi="Georgia" w:cstheme="minorHAnsi"/>
          <w:b/>
          <w:bCs/>
          <w:sz w:val="19"/>
          <w:szCs w:val="19"/>
        </w:rPr>
        <w:t xml:space="preserve">  </w:t>
      </w:r>
      <w:r w:rsidRPr="0012716B">
        <w:rPr>
          <w:rFonts w:ascii="Georgia" w:hAnsi="Georgia" w:cstheme="minorHAnsi"/>
          <w:b/>
          <w:bCs/>
          <w:sz w:val="19"/>
          <w:szCs w:val="19"/>
        </w:rPr>
        <w:t>Sign &amp; Seal of Bidder</w:t>
      </w:r>
    </w:p>
    <w:sectPr w:rsidR="0002293B" w:rsidSect="00786912">
      <w:pgSz w:w="11906" w:h="16838"/>
      <w:pgMar w:top="284" w:right="1440" w:bottom="142" w:left="3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A8E" w:rsidRDefault="00905A8E" w:rsidP="00C4644C">
      <w:pPr>
        <w:spacing w:after="0" w:line="240" w:lineRule="auto"/>
      </w:pPr>
      <w:r>
        <w:separator/>
      </w:r>
    </w:p>
  </w:endnote>
  <w:endnote w:type="continuationSeparator" w:id="0">
    <w:p w:rsidR="00905A8E" w:rsidRDefault="00905A8E" w:rsidP="00C4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A8E" w:rsidRDefault="00905A8E" w:rsidP="00C4644C">
      <w:pPr>
        <w:spacing w:after="0" w:line="240" w:lineRule="auto"/>
      </w:pPr>
      <w:r>
        <w:separator/>
      </w:r>
    </w:p>
  </w:footnote>
  <w:footnote w:type="continuationSeparator" w:id="0">
    <w:p w:rsidR="00905A8E" w:rsidRDefault="00905A8E" w:rsidP="00C46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AA3"/>
    <w:multiLevelType w:val="hybridMultilevel"/>
    <w:tmpl w:val="6EA4FE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5D1495F"/>
    <w:multiLevelType w:val="hybridMultilevel"/>
    <w:tmpl w:val="E68E7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D20870"/>
    <w:multiLevelType w:val="hybridMultilevel"/>
    <w:tmpl w:val="D4427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7C45C2"/>
    <w:multiLevelType w:val="hybridMultilevel"/>
    <w:tmpl w:val="FA86A5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0E357F"/>
    <w:multiLevelType w:val="hybridMultilevel"/>
    <w:tmpl w:val="637618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DFC3715"/>
    <w:multiLevelType w:val="hybridMultilevel"/>
    <w:tmpl w:val="B8064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3622E9"/>
    <w:multiLevelType w:val="hybridMultilevel"/>
    <w:tmpl w:val="4FF865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F04106"/>
    <w:multiLevelType w:val="hybridMultilevel"/>
    <w:tmpl w:val="8702BE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C4A74A5"/>
    <w:multiLevelType w:val="hybridMultilevel"/>
    <w:tmpl w:val="8E166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2D4A89"/>
    <w:multiLevelType w:val="hybridMultilevel"/>
    <w:tmpl w:val="5EAEB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830AE7"/>
    <w:multiLevelType w:val="hybridMultilevel"/>
    <w:tmpl w:val="09DEF8D2"/>
    <w:lvl w:ilvl="0" w:tplc="0409000F">
      <w:start w:val="1"/>
      <w:numFmt w:val="decimal"/>
      <w:lvlText w:val="%1."/>
      <w:lvlJc w:val="left"/>
      <w:pPr>
        <w:ind w:left="720" w:hanging="360"/>
      </w:pPr>
    </w:lvl>
    <w:lvl w:ilvl="1" w:tplc="44D878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66976"/>
    <w:multiLevelType w:val="hybridMultilevel"/>
    <w:tmpl w:val="1FD215C8"/>
    <w:lvl w:ilvl="0" w:tplc="1826AE7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F91822"/>
    <w:multiLevelType w:val="hybridMultilevel"/>
    <w:tmpl w:val="7DD24B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6B05585"/>
    <w:multiLevelType w:val="hybridMultilevel"/>
    <w:tmpl w:val="40D49428"/>
    <w:lvl w:ilvl="0" w:tplc="50B6E942">
      <w:start w:val="1"/>
      <w:numFmt w:val="decimal"/>
      <w:lvlText w:val="%1."/>
      <w:lvlJc w:val="left"/>
      <w:pPr>
        <w:ind w:left="786" w:hanging="360"/>
      </w:pPr>
      <w:rPr>
        <w:rFonts w:ascii="Times New Roman" w:eastAsiaTheme="minorHAnsi" w:hAnsi="Times New Roman" w:cs="Times New Roman"/>
        <w:sz w:val="36"/>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15:restartNumberingAfterBreak="0">
    <w:nsid w:val="2AFC37FF"/>
    <w:multiLevelType w:val="hybridMultilevel"/>
    <w:tmpl w:val="7D605A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6000CA"/>
    <w:multiLevelType w:val="hybridMultilevel"/>
    <w:tmpl w:val="57629B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0C07436"/>
    <w:multiLevelType w:val="hybridMultilevel"/>
    <w:tmpl w:val="034A7002"/>
    <w:lvl w:ilvl="0" w:tplc="44D87850">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16818B8"/>
    <w:multiLevelType w:val="hybridMultilevel"/>
    <w:tmpl w:val="54BAE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3BE37F5"/>
    <w:multiLevelType w:val="hybridMultilevel"/>
    <w:tmpl w:val="7DD24B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3E177F6"/>
    <w:multiLevelType w:val="hybridMultilevel"/>
    <w:tmpl w:val="E788C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45154E0"/>
    <w:multiLevelType w:val="hybridMultilevel"/>
    <w:tmpl w:val="A5120C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38E01ED3"/>
    <w:multiLevelType w:val="hybridMultilevel"/>
    <w:tmpl w:val="7DD24BB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39246745"/>
    <w:multiLevelType w:val="hybridMultilevel"/>
    <w:tmpl w:val="6602B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CA07660"/>
    <w:multiLevelType w:val="hybridMultilevel"/>
    <w:tmpl w:val="EACE71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D2D1804"/>
    <w:multiLevelType w:val="hybridMultilevel"/>
    <w:tmpl w:val="7D605A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3AF5984"/>
    <w:multiLevelType w:val="hybridMultilevel"/>
    <w:tmpl w:val="AB7AD5D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92421CA"/>
    <w:multiLevelType w:val="hybridMultilevel"/>
    <w:tmpl w:val="37EEF6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4B857388"/>
    <w:multiLevelType w:val="hybridMultilevel"/>
    <w:tmpl w:val="10DC2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CB3447A"/>
    <w:multiLevelType w:val="hybridMultilevel"/>
    <w:tmpl w:val="BA68B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FA40497"/>
    <w:multiLevelType w:val="hybridMultilevel"/>
    <w:tmpl w:val="F3C45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9130037"/>
    <w:multiLevelType w:val="hybridMultilevel"/>
    <w:tmpl w:val="E2D21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D3E62FF"/>
    <w:multiLevelType w:val="hybridMultilevel"/>
    <w:tmpl w:val="B6464A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5EBF1B4F"/>
    <w:multiLevelType w:val="hybridMultilevel"/>
    <w:tmpl w:val="9B56A2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61862AD3"/>
    <w:multiLevelType w:val="hybridMultilevel"/>
    <w:tmpl w:val="36501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27737EB"/>
    <w:multiLevelType w:val="hybridMultilevel"/>
    <w:tmpl w:val="E050E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5996982"/>
    <w:multiLevelType w:val="hybridMultilevel"/>
    <w:tmpl w:val="3B64B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5F07191"/>
    <w:multiLevelType w:val="hybridMultilevel"/>
    <w:tmpl w:val="54BAE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88C19BE"/>
    <w:multiLevelType w:val="hybridMultilevel"/>
    <w:tmpl w:val="E2EAF1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6C94494E"/>
    <w:multiLevelType w:val="hybridMultilevel"/>
    <w:tmpl w:val="E9AC2F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EB9715C"/>
    <w:multiLevelType w:val="hybridMultilevel"/>
    <w:tmpl w:val="65CCD5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707218FD"/>
    <w:multiLevelType w:val="hybridMultilevel"/>
    <w:tmpl w:val="ADB6A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C6615B"/>
    <w:multiLevelType w:val="hybridMultilevel"/>
    <w:tmpl w:val="77C07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23"/>
  </w:num>
  <w:num w:numId="4">
    <w:abstractNumId w:val="15"/>
  </w:num>
  <w:num w:numId="5">
    <w:abstractNumId w:val="17"/>
  </w:num>
  <w:num w:numId="6">
    <w:abstractNumId w:val="36"/>
  </w:num>
  <w:num w:numId="7">
    <w:abstractNumId w:val="14"/>
  </w:num>
  <w:num w:numId="8">
    <w:abstractNumId w:val="24"/>
  </w:num>
  <w:num w:numId="9">
    <w:abstractNumId w:val="11"/>
  </w:num>
  <w:num w:numId="10">
    <w:abstractNumId w:val="22"/>
  </w:num>
  <w:num w:numId="11">
    <w:abstractNumId w:val="37"/>
  </w:num>
  <w:num w:numId="12">
    <w:abstractNumId w:val="27"/>
  </w:num>
  <w:num w:numId="13">
    <w:abstractNumId w:val="29"/>
  </w:num>
  <w:num w:numId="14">
    <w:abstractNumId w:val="0"/>
  </w:num>
  <w:num w:numId="15">
    <w:abstractNumId w:val="2"/>
  </w:num>
  <w:num w:numId="16">
    <w:abstractNumId w:val="30"/>
  </w:num>
  <w:num w:numId="17">
    <w:abstractNumId w:val="41"/>
  </w:num>
  <w:num w:numId="18">
    <w:abstractNumId w:val="39"/>
  </w:num>
  <w:num w:numId="19">
    <w:abstractNumId w:val="8"/>
  </w:num>
  <w:num w:numId="20">
    <w:abstractNumId w:val="35"/>
  </w:num>
  <w:num w:numId="21">
    <w:abstractNumId w:val="34"/>
  </w:num>
  <w:num w:numId="22">
    <w:abstractNumId w:val="33"/>
  </w:num>
  <w:num w:numId="23">
    <w:abstractNumId w:val="26"/>
  </w:num>
  <w:num w:numId="24">
    <w:abstractNumId w:val="7"/>
  </w:num>
  <w:num w:numId="25">
    <w:abstractNumId w:val="32"/>
  </w:num>
  <w:num w:numId="26">
    <w:abstractNumId w:val="1"/>
  </w:num>
  <w:num w:numId="27">
    <w:abstractNumId w:val="6"/>
  </w:num>
  <w:num w:numId="28">
    <w:abstractNumId w:val="38"/>
  </w:num>
  <w:num w:numId="29">
    <w:abstractNumId w:val="40"/>
  </w:num>
  <w:num w:numId="30">
    <w:abstractNumId w:val="19"/>
  </w:num>
  <w:num w:numId="31">
    <w:abstractNumId w:val="4"/>
  </w:num>
  <w:num w:numId="32">
    <w:abstractNumId w:val="3"/>
  </w:num>
  <w:num w:numId="33">
    <w:abstractNumId w:val="9"/>
  </w:num>
  <w:num w:numId="34">
    <w:abstractNumId w:val="31"/>
  </w:num>
  <w:num w:numId="35">
    <w:abstractNumId w:val="5"/>
  </w:num>
  <w:num w:numId="36">
    <w:abstractNumId w:val="20"/>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0"/>
  </w:num>
  <w:num w:numId="41">
    <w:abstractNumId w:val="12"/>
  </w:num>
  <w:num w:numId="42">
    <w:abstractNumId w:val="1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82B"/>
    <w:rsid w:val="0001321D"/>
    <w:rsid w:val="00017439"/>
    <w:rsid w:val="0002293B"/>
    <w:rsid w:val="00023382"/>
    <w:rsid w:val="000269AE"/>
    <w:rsid w:val="00035C03"/>
    <w:rsid w:val="00037903"/>
    <w:rsid w:val="00044B96"/>
    <w:rsid w:val="00052519"/>
    <w:rsid w:val="000606B7"/>
    <w:rsid w:val="00077816"/>
    <w:rsid w:val="00084620"/>
    <w:rsid w:val="000A7B10"/>
    <w:rsid w:val="000B27C5"/>
    <w:rsid w:val="000B34F7"/>
    <w:rsid w:val="000B46ED"/>
    <w:rsid w:val="000B60B6"/>
    <w:rsid w:val="000C5DD9"/>
    <w:rsid w:val="000C76ED"/>
    <w:rsid w:val="000E455A"/>
    <w:rsid w:val="000E7E03"/>
    <w:rsid w:val="00101A3E"/>
    <w:rsid w:val="0010227C"/>
    <w:rsid w:val="0010343F"/>
    <w:rsid w:val="001051B7"/>
    <w:rsid w:val="0011148D"/>
    <w:rsid w:val="00112F4B"/>
    <w:rsid w:val="00120FE4"/>
    <w:rsid w:val="00130492"/>
    <w:rsid w:val="001434DF"/>
    <w:rsid w:val="00144499"/>
    <w:rsid w:val="00146CA7"/>
    <w:rsid w:val="001503A2"/>
    <w:rsid w:val="00150668"/>
    <w:rsid w:val="001603F9"/>
    <w:rsid w:val="00172734"/>
    <w:rsid w:val="00173991"/>
    <w:rsid w:val="001914D2"/>
    <w:rsid w:val="001933CC"/>
    <w:rsid w:val="00197452"/>
    <w:rsid w:val="001A5174"/>
    <w:rsid w:val="001B0C17"/>
    <w:rsid w:val="001B3876"/>
    <w:rsid w:val="001C6F2D"/>
    <w:rsid w:val="001D5100"/>
    <w:rsid w:val="001E2125"/>
    <w:rsid w:val="00210F1A"/>
    <w:rsid w:val="00213371"/>
    <w:rsid w:val="002300B9"/>
    <w:rsid w:val="00236DFF"/>
    <w:rsid w:val="002404AD"/>
    <w:rsid w:val="002405A6"/>
    <w:rsid w:val="00245635"/>
    <w:rsid w:val="00245EFB"/>
    <w:rsid w:val="00267B3A"/>
    <w:rsid w:val="00277A67"/>
    <w:rsid w:val="0029252D"/>
    <w:rsid w:val="0029372B"/>
    <w:rsid w:val="00294116"/>
    <w:rsid w:val="00294870"/>
    <w:rsid w:val="00296FA1"/>
    <w:rsid w:val="002B68A9"/>
    <w:rsid w:val="002C2F69"/>
    <w:rsid w:val="002C3207"/>
    <w:rsid w:val="002D0785"/>
    <w:rsid w:val="002D09C7"/>
    <w:rsid w:val="002D5480"/>
    <w:rsid w:val="002E057F"/>
    <w:rsid w:val="002E1AFA"/>
    <w:rsid w:val="0030144D"/>
    <w:rsid w:val="00320543"/>
    <w:rsid w:val="00327FCE"/>
    <w:rsid w:val="00336FAA"/>
    <w:rsid w:val="00346928"/>
    <w:rsid w:val="0035074B"/>
    <w:rsid w:val="003575E7"/>
    <w:rsid w:val="003613E3"/>
    <w:rsid w:val="003A7A12"/>
    <w:rsid w:val="003B0F68"/>
    <w:rsid w:val="003B72CE"/>
    <w:rsid w:val="003B74C0"/>
    <w:rsid w:val="003C28D4"/>
    <w:rsid w:val="003E3293"/>
    <w:rsid w:val="00424999"/>
    <w:rsid w:val="004411C1"/>
    <w:rsid w:val="00443153"/>
    <w:rsid w:val="00460CB9"/>
    <w:rsid w:val="00467D36"/>
    <w:rsid w:val="00475BD9"/>
    <w:rsid w:val="00476DD5"/>
    <w:rsid w:val="004917EB"/>
    <w:rsid w:val="004939BA"/>
    <w:rsid w:val="004A0A0A"/>
    <w:rsid w:val="004A4456"/>
    <w:rsid w:val="004B2D19"/>
    <w:rsid w:val="004D1188"/>
    <w:rsid w:val="004D2E66"/>
    <w:rsid w:val="004D57A7"/>
    <w:rsid w:val="005075EC"/>
    <w:rsid w:val="00511752"/>
    <w:rsid w:val="00512669"/>
    <w:rsid w:val="0052186D"/>
    <w:rsid w:val="0052232F"/>
    <w:rsid w:val="00522C27"/>
    <w:rsid w:val="005231DC"/>
    <w:rsid w:val="00552A98"/>
    <w:rsid w:val="00577307"/>
    <w:rsid w:val="00590ECD"/>
    <w:rsid w:val="0059223F"/>
    <w:rsid w:val="005A269B"/>
    <w:rsid w:val="005C4596"/>
    <w:rsid w:val="005E0497"/>
    <w:rsid w:val="005E5ED9"/>
    <w:rsid w:val="005F4991"/>
    <w:rsid w:val="006209F7"/>
    <w:rsid w:val="00621B53"/>
    <w:rsid w:val="00633DD0"/>
    <w:rsid w:val="006347E8"/>
    <w:rsid w:val="0064682B"/>
    <w:rsid w:val="0065061D"/>
    <w:rsid w:val="00654A3F"/>
    <w:rsid w:val="006912EC"/>
    <w:rsid w:val="006965C0"/>
    <w:rsid w:val="006E1644"/>
    <w:rsid w:val="006E3285"/>
    <w:rsid w:val="00700FE1"/>
    <w:rsid w:val="00725B86"/>
    <w:rsid w:val="00742A68"/>
    <w:rsid w:val="00745ACF"/>
    <w:rsid w:val="00764474"/>
    <w:rsid w:val="00781879"/>
    <w:rsid w:val="00786617"/>
    <w:rsid w:val="00786912"/>
    <w:rsid w:val="00793743"/>
    <w:rsid w:val="007B4ADF"/>
    <w:rsid w:val="007B4B70"/>
    <w:rsid w:val="007C528A"/>
    <w:rsid w:val="007D1D25"/>
    <w:rsid w:val="007F03DE"/>
    <w:rsid w:val="007F70BD"/>
    <w:rsid w:val="00802496"/>
    <w:rsid w:val="0081139E"/>
    <w:rsid w:val="00822B89"/>
    <w:rsid w:val="00825FE5"/>
    <w:rsid w:val="00826583"/>
    <w:rsid w:val="00842E9B"/>
    <w:rsid w:val="0084525B"/>
    <w:rsid w:val="00845290"/>
    <w:rsid w:val="00857635"/>
    <w:rsid w:val="00867F08"/>
    <w:rsid w:val="00870C3C"/>
    <w:rsid w:val="00876F41"/>
    <w:rsid w:val="00880761"/>
    <w:rsid w:val="00885E90"/>
    <w:rsid w:val="008A18DC"/>
    <w:rsid w:val="008B47BA"/>
    <w:rsid w:val="008B4A9C"/>
    <w:rsid w:val="008C1EB0"/>
    <w:rsid w:val="008C3789"/>
    <w:rsid w:val="008E609C"/>
    <w:rsid w:val="008F37F8"/>
    <w:rsid w:val="00905425"/>
    <w:rsid w:val="00905A8E"/>
    <w:rsid w:val="00925AF3"/>
    <w:rsid w:val="00925C65"/>
    <w:rsid w:val="00932322"/>
    <w:rsid w:val="00936F88"/>
    <w:rsid w:val="00960B97"/>
    <w:rsid w:val="00973854"/>
    <w:rsid w:val="009914CA"/>
    <w:rsid w:val="009A310E"/>
    <w:rsid w:val="009A48DE"/>
    <w:rsid w:val="009B147D"/>
    <w:rsid w:val="009B19F4"/>
    <w:rsid w:val="009B50B7"/>
    <w:rsid w:val="009B7F62"/>
    <w:rsid w:val="009C119B"/>
    <w:rsid w:val="009C514C"/>
    <w:rsid w:val="009D306F"/>
    <w:rsid w:val="009F247F"/>
    <w:rsid w:val="00A1224F"/>
    <w:rsid w:val="00A12A85"/>
    <w:rsid w:val="00A138CC"/>
    <w:rsid w:val="00A30AE4"/>
    <w:rsid w:val="00A62394"/>
    <w:rsid w:val="00A71466"/>
    <w:rsid w:val="00A83490"/>
    <w:rsid w:val="00A910FD"/>
    <w:rsid w:val="00AA4517"/>
    <w:rsid w:val="00AB5B18"/>
    <w:rsid w:val="00AD00F3"/>
    <w:rsid w:val="00AD08A3"/>
    <w:rsid w:val="00B03242"/>
    <w:rsid w:val="00B23A83"/>
    <w:rsid w:val="00B325AD"/>
    <w:rsid w:val="00B672DC"/>
    <w:rsid w:val="00B67E13"/>
    <w:rsid w:val="00B70931"/>
    <w:rsid w:val="00B71FF6"/>
    <w:rsid w:val="00B73492"/>
    <w:rsid w:val="00B74BF3"/>
    <w:rsid w:val="00B819E2"/>
    <w:rsid w:val="00B84686"/>
    <w:rsid w:val="00B90FBA"/>
    <w:rsid w:val="00BA7003"/>
    <w:rsid w:val="00BC0199"/>
    <w:rsid w:val="00BC09E6"/>
    <w:rsid w:val="00BC459D"/>
    <w:rsid w:val="00BC61D8"/>
    <w:rsid w:val="00BD357B"/>
    <w:rsid w:val="00BD494C"/>
    <w:rsid w:val="00BE26E4"/>
    <w:rsid w:val="00BE44ED"/>
    <w:rsid w:val="00BF4277"/>
    <w:rsid w:val="00C02F4D"/>
    <w:rsid w:val="00C15602"/>
    <w:rsid w:val="00C213CC"/>
    <w:rsid w:val="00C406C9"/>
    <w:rsid w:val="00C4630E"/>
    <w:rsid w:val="00C4644C"/>
    <w:rsid w:val="00C561D2"/>
    <w:rsid w:val="00C645F1"/>
    <w:rsid w:val="00C7436D"/>
    <w:rsid w:val="00C819BA"/>
    <w:rsid w:val="00CB3FAC"/>
    <w:rsid w:val="00CB5C4F"/>
    <w:rsid w:val="00CB7325"/>
    <w:rsid w:val="00CB7CC3"/>
    <w:rsid w:val="00CD3C83"/>
    <w:rsid w:val="00CD6DD8"/>
    <w:rsid w:val="00CE4F70"/>
    <w:rsid w:val="00CE5E04"/>
    <w:rsid w:val="00CF5AE6"/>
    <w:rsid w:val="00CF77F9"/>
    <w:rsid w:val="00D018AE"/>
    <w:rsid w:val="00D07978"/>
    <w:rsid w:val="00D173DC"/>
    <w:rsid w:val="00D22104"/>
    <w:rsid w:val="00D248A5"/>
    <w:rsid w:val="00D36B33"/>
    <w:rsid w:val="00D447D1"/>
    <w:rsid w:val="00D80ECF"/>
    <w:rsid w:val="00D867E1"/>
    <w:rsid w:val="00D91425"/>
    <w:rsid w:val="00D92982"/>
    <w:rsid w:val="00D9305B"/>
    <w:rsid w:val="00DA5537"/>
    <w:rsid w:val="00DA6B52"/>
    <w:rsid w:val="00DB6FCA"/>
    <w:rsid w:val="00DC5138"/>
    <w:rsid w:val="00DF6985"/>
    <w:rsid w:val="00E018EE"/>
    <w:rsid w:val="00E03767"/>
    <w:rsid w:val="00E13084"/>
    <w:rsid w:val="00E21D11"/>
    <w:rsid w:val="00E41CBC"/>
    <w:rsid w:val="00E570C8"/>
    <w:rsid w:val="00E636F3"/>
    <w:rsid w:val="00E66E1B"/>
    <w:rsid w:val="00E861DE"/>
    <w:rsid w:val="00E92BF2"/>
    <w:rsid w:val="00E97152"/>
    <w:rsid w:val="00EA2F17"/>
    <w:rsid w:val="00EA4808"/>
    <w:rsid w:val="00EA5AF9"/>
    <w:rsid w:val="00EB0824"/>
    <w:rsid w:val="00EB2E1A"/>
    <w:rsid w:val="00EB3921"/>
    <w:rsid w:val="00EB5D8F"/>
    <w:rsid w:val="00ED1226"/>
    <w:rsid w:val="00EE669F"/>
    <w:rsid w:val="00EF7C84"/>
    <w:rsid w:val="00F06565"/>
    <w:rsid w:val="00F1610D"/>
    <w:rsid w:val="00F203D5"/>
    <w:rsid w:val="00F67C99"/>
    <w:rsid w:val="00F91D9C"/>
    <w:rsid w:val="00F945EC"/>
    <w:rsid w:val="00FA61D7"/>
    <w:rsid w:val="00FB4ABA"/>
    <w:rsid w:val="00FC470A"/>
    <w:rsid w:val="00FD3C29"/>
    <w:rsid w:val="00FF079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4E372"/>
  <w15:chartTrackingRefBased/>
  <w15:docId w15:val="{C236F588-F502-4C0A-BB32-B8C75E31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74B"/>
    <w:pPr>
      <w:ind w:left="720"/>
      <w:contextualSpacing/>
    </w:pPr>
  </w:style>
  <w:style w:type="paragraph" w:customStyle="1" w:styleId="Default">
    <w:name w:val="Default"/>
    <w:basedOn w:val="Normal"/>
    <w:rsid w:val="00D91425"/>
    <w:pPr>
      <w:autoSpaceDE w:val="0"/>
      <w:autoSpaceDN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939B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939BA"/>
    <w:rPr>
      <w:rFonts w:ascii="Segoe UI" w:hAnsi="Segoe UI" w:cs="Mangal"/>
      <w:sz w:val="18"/>
      <w:szCs w:val="16"/>
    </w:rPr>
  </w:style>
  <w:style w:type="character" w:styleId="Hyperlink">
    <w:name w:val="Hyperlink"/>
    <w:basedOn w:val="DefaultParagraphFont"/>
    <w:uiPriority w:val="99"/>
    <w:unhideWhenUsed/>
    <w:rsid w:val="004D2E66"/>
    <w:rPr>
      <w:color w:val="0563C1" w:themeColor="hyperlink"/>
      <w:u w:val="single"/>
    </w:rPr>
  </w:style>
  <w:style w:type="paragraph" w:styleId="Header">
    <w:name w:val="header"/>
    <w:basedOn w:val="Normal"/>
    <w:link w:val="HeaderChar"/>
    <w:uiPriority w:val="99"/>
    <w:unhideWhenUsed/>
    <w:rsid w:val="00C46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44C"/>
  </w:style>
  <w:style w:type="paragraph" w:styleId="Footer">
    <w:name w:val="footer"/>
    <w:basedOn w:val="Normal"/>
    <w:link w:val="FooterChar"/>
    <w:uiPriority w:val="99"/>
    <w:unhideWhenUsed/>
    <w:rsid w:val="00C46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44C"/>
  </w:style>
  <w:style w:type="character" w:styleId="PlaceholderText">
    <w:name w:val="Placeholder Text"/>
    <w:basedOn w:val="DefaultParagraphFont"/>
    <w:uiPriority w:val="99"/>
    <w:semiHidden/>
    <w:rsid w:val="00B73492"/>
    <w:rPr>
      <w:color w:val="808080"/>
    </w:rPr>
  </w:style>
  <w:style w:type="paragraph" w:styleId="NoSpacing">
    <w:name w:val="No Spacing"/>
    <w:uiPriority w:val="1"/>
    <w:qFormat/>
    <w:rsid w:val="002C2F69"/>
    <w:pPr>
      <w:spacing w:after="0" w:line="240" w:lineRule="auto"/>
    </w:pPr>
    <w:rPr>
      <w:rFonts w:ascii="Times New Roman" w:hAnsi="Times New Roman" w:cs="Mangal"/>
      <w:sz w:val="24"/>
      <w:szCs w:val="21"/>
      <w:lang w:eastAsia="en-IN"/>
    </w:rPr>
  </w:style>
  <w:style w:type="character" w:styleId="CommentReference">
    <w:name w:val="annotation reference"/>
    <w:basedOn w:val="DefaultParagraphFont"/>
    <w:uiPriority w:val="99"/>
    <w:semiHidden/>
    <w:unhideWhenUsed/>
    <w:rsid w:val="00C819BA"/>
    <w:rPr>
      <w:sz w:val="16"/>
      <w:szCs w:val="16"/>
    </w:rPr>
  </w:style>
  <w:style w:type="paragraph" w:styleId="CommentText">
    <w:name w:val="annotation text"/>
    <w:basedOn w:val="Normal"/>
    <w:link w:val="CommentTextChar"/>
    <w:uiPriority w:val="99"/>
    <w:semiHidden/>
    <w:unhideWhenUsed/>
    <w:rsid w:val="00C819BA"/>
    <w:pPr>
      <w:spacing w:line="240" w:lineRule="auto"/>
    </w:pPr>
    <w:rPr>
      <w:sz w:val="20"/>
      <w:szCs w:val="18"/>
    </w:rPr>
  </w:style>
  <w:style w:type="character" w:customStyle="1" w:styleId="CommentTextChar">
    <w:name w:val="Comment Text Char"/>
    <w:basedOn w:val="DefaultParagraphFont"/>
    <w:link w:val="CommentText"/>
    <w:uiPriority w:val="99"/>
    <w:semiHidden/>
    <w:rsid w:val="00C819BA"/>
    <w:rPr>
      <w:sz w:val="20"/>
      <w:szCs w:val="18"/>
    </w:rPr>
  </w:style>
  <w:style w:type="paragraph" w:styleId="CommentSubject">
    <w:name w:val="annotation subject"/>
    <w:basedOn w:val="CommentText"/>
    <w:next w:val="CommentText"/>
    <w:link w:val="CommentSubjectChar"/>
    <w:uiPriority w:val="99"/>
    <w:semiHidden/>
    <w:unhideWhenUsed/>
    <w:rsid w:val="00C819BA"/>
    <w:rPr>
      <w:b/>
      <w:bCs/>
    </w:rPr>
  </w:style>
  <w:style w:type="character" w:customStyle="1" w:styleId="CommentSubjectChar">
    <w:name w:val="Comment Subject Char"/>
    <w:basedOn w:val="CommentTextChar"/>
    <w:link w:val="CommentSubject"/>
    <w:uiPriority w:val="99"/>
    <w:semiHidden/>
    <w:rsid w:val="00C819BA"/>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47164">
      <w:bodyDiv w:val="1"/>
      <w:marLeft w:val="0"/>
      <w:marRight w:val="0"/>
      <w:marTop w:val="0"/>
      <w:marBottom w:val="0"/>
      <w:divBdr>
        <w:top w:val="none" w:sz="0" w:space="0" w:color="auto"/>
        <w:left w:val="none" w:sz="0" w:space="0" w:color="auto"/>
        <w:bottom w:val="none" w:sz="0" w:space="0" w:color="auto"/>
        <w:right w:val="none" w:sz="0" w:space="0" w:color="auto"/>
      </w:divBdr>
    </w:div>
    <w:div w:id="865562846">
      <w:bodyDiv w:val="1"/>
      <w:marLeft w:val="0"/>
      <w:marRight w:val="0"/>
      <w:marTop w:val="0"/>
      <w:marBottom w:val="0"/>
      <w:divBdr>
        <w:top w:val="none" w:sz="0" w:space="0" w:color="auto"/>
        <w:left w:val="none" w:sz="0" w:space="0" w:color="auto"/>
        <w:bottom w:val="none" w:sz="0" w:space="0" w:color="auto"/>
        <w:right w:val="none" w:sz="0" w:space="0" w:color="auto"/>
      </w:divBdr>
    </w:div>
    <w:div w:id="893201788">
      <w:bodyDiv w:val="1"/>
      <w:marLeft w:val="0"/>
      <w:marRight w:val="0"/>
      <w:marTop w:val="0"/>
      <w:marBottom w:val="0"/>
      <w:divBdr>
        <w:top w:val="none" w:sz="0" w:space="0" w:color="auto"/>
        <w:left w:val="none" w:sz="0" w:space="0" w:color="auto"/>
        <w:bottom w:val="none" w:sz="0" w:space="0" w:color="auto"/>
        <w:right w:val="none" w:sz="0" w:space="0" w:color="auto"/>
      </w:divBdr>
    </w:div>
    <w:div w:id="1124274089">
      <w:bodyDiv w:val="1"/>
      <w:marLeft w:val="0"/>
      <w:marRight w:val="0"/>
      <w:marTop w:val="0"/>
      <w:marBottom w:val="0"/>
      <w:divBdr>
        <w:top w:val="none" w:sz="0" w:space="0" w:color="auto"/>
        <w:left w:val="none" w:sz="0" w:space="0" w:color="auto"/>
        <w:bottom w:val="none" w:sz="0" w:space="0" w:color="auto"/>
        <w:right w:val="none" w:sz="0" w:space="0" w:color="auto"/>
      </w:divBdr>
    </w:div>
    <w:div w:id="1219632161">
      <w:bodyDiv w:val="1"/>
      <w:marLeft w:val="0"/>
      <w:marRight w:val="0"/>
      <w:marTop w:val="0"/>
      <w:marBottom w:val="0"/>
      <w:divBdr>
        <w:top w:val="none" w:sz="0" w:space="0" w:color="auto"/>
        <w:left w:val="none" w:sz="0" w:space="0" w:color="auto"/>
        <w:bottom w:val="none" w:sz="0" w:space="0" w:color="auto"/>
        <w:right w:val="none" w:sz="0" w:space="0" w:color="auto"/>
      </w:divBdr>
    </w:div>
    <w:div w:id="1704864202">
      <w:bodyDiv w:val="1"/>
      <w:marLeft w:val="0"/>
      <w:marRight w:val="0"/>
      <w:marTop w:val="0"/>
      <w:marBottom w:val="0"/>
      <w:divBdr>
        <w:top w:val="none" w:sz="0" w:space="0" w:color="auto"/>
        <w:left w:val="none" w:sz="0" w:space="0" w:color="auto"/>
        <w:bottom w:val="none" w:sz="0" w:space="0" w:color="auto"/>
        <w:right w:val="none" w:sz="0" w:space="0" w:color="auto"/>
      </w:divBdr>
    </w:div>
    <w:div w:id="1753815324">
      <w:bodyDiv w:val="1"/>
      <w:marLeft w:val="0"/>
      <w:marRight w:val="0"/>
      <w:marTop w:val="0"/>
      <w:marBottom w:val="0"/>
      <w:divBdr>
        <w:top w:val="none" w:sz="0" w:space="0" w:color="auto"/>
        <w:left w:val="none" w:sz="0" w:space="0" w:color="auto"/>
        <w:bottom w:val="none" w:sz="0" w:space="0" w:color="auto"/>
        <w:right w:val="none" w:sz="0" w:space="0" w:color="auto"/>
      </w:divBdr>
    </w:div>
    <w:div w:id="19288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hel.com/guidelines-suspension-business-dealings-supplierscontrac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4</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BHEl Haridwar</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Jagdeep Singh Soni</dc:creator>
  <cp:keywords/>
  <dc:description/>
  <cp:lastModifiedBy>Shailesh Kaushal</cp:lastModifiedBy>
  <cp:revision>106</cp:revision>
  <cp:lastPrinted>2022-08-10T03:20:00Z</cp:lastPrinted>
  <dcterms:created xsi:type="dcterms:W3CDTF">2022-08-30T03:42:00Z</dcterms:created>
  <dcterms:modified xsi:type="dcterms:W3CDTF">2024-02-08T09:36:00Z</dcterms:modified>
</cp:coreProperties>
</file>