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0F6" w:rsidRDefault="00C460F6" w:rsidP="00C943A2">
      <w:pPr>
        <w:pBdr>
          <w:bottom w:val="single" w:sz="6" w:space="1" w:color="auto"/>
        </w:pBdr>
        <w:spacing w:after="0" w:line="240" w:lineRule="auto"/>
        <w:jc w:val="both"/>
        <w:rPr>
          <w:rFonts w:ascii="Arial" w:hAnsi="Arial" w:cs="Arial"/>
        </w:rPr>
      </w:pPr>
    </w:p>
    <w:p w:rsidR="00C460F6" w:rsidRPr="00C460F6" w:rsidRDefault="00C460F6" w:rsidP="00C943A2">
      <w:pPr>
        <w:spacing w:after="0" w:line="240" w:lineRule="auto"/>
        <w:jc w:val="both"/>
        <w:rPr>
          <w:rFonts w:ascii="Arial" w:hAnsi="Arial" w:cs="Arial"/>
          <w:sz w:val="8"/>
          <w:szCs w:val="8"/>
        </w:rPr>
      </w:pPr>
    </w:p>
    <w:tbl>
      <w:tblPr>
        <w:tblStyle w:val="TableGrid"/>
        <w:tblpPr w:leftFromText="180" w:rightFromText="180" w:vertAnchor="text" w:horzAnchor="margin" w:tblpX="-162" w:tblpY="193"/>
        <w:tblW w:w="9923" w:type="dxa"/>
        <w:tblLayout w:type="fixed"/>
        <w:tblLook w:val="04A0" w:firstRow="1" w:lastRow="0" w:firstColumn="1" w:lastColumn="0" w:noHBand="0" w:noVBand="1"/>
      </w:tblPr>
      <w:tblGrid>
        <w:gridCol w:w="4106"/>
        <w:gridCol w:w="2278"/>
        <w:gridCol w:w="3539"/>
      </w:tblGrid>
      <w:tr w:rsidR="00C05F57" w:rsidRPr="00C460F6" w:rsidTr="00C460F6">
        <w:trPr>
          <w:trHeight w:val="103"/>
        </w:trPr>
        <w:tc>
          <w:tcPr>
            <w:tcW w:w="4106" w:type="dxa"/>
            <w:vAlign w:val="center"/>
            <w:hideMark/>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textAlignment w:val="baseline"/>
              <w:rPr>
                <w:rFonts w:ascii="Arial" w:hAnsi="Arial" w:cs="Arial"/>
              </w:rPr>
            </w:pPr>
            <w:r w:rsidRPr="00C460F6">
              <w:rPr>
                <w:rFonts w:ascii="Arial" w:hAnsi="Arial" w:cs="Arial"/>
              </w:rPr>
              <w:t>Package</w:t>
            </w:r>
          </w:p>
        </w:tc>
        <w:tc>
          <w:tcPr>
            <w:tcW w:w="5817" w:type="dxa"/>
            <w:gridSpan w:val="2"/>
            <w:vAlign w:val="center"/>
          </w:tcPr>
          <w:p w:rsidR="00C05F57" w:rsidRPr="00C460F6" w:rsidRDefault="00C460F6" w:rsidP="00123583">
            <w:pPr>
              <w:rPr>
                <w:rFonts w:ascii="Arial" w:hAnsi="Arial" w:cs="Arial"/>
                <w:b/>
                <w:bCs/>
              </w:rPr>
            </w:pPr>
            <w:r w:rsidRPr="00C460F6">
              <w:rPr>
                <w:rFonts w:ascii="Arial" w:hAnsi="Arial" w:cs="Arial"/>
                <w:b/>
                <w:bCs/>
              </w:rPr>
              <w:t>VENTILATION SYSTEM</w:t>
            </w:r>
          </w:p>
        </w:tc>
      </w:tr>
      <w:tr w:rsidR="00C05F57" w:rsidRPr="00C460F6" w:rsidTr="00C460F6">
        <w:trPr>
          <w:trHeight w:val="103"/>
        </w:trPr>
        <w:tc>
          <w:tcPr>
            <w:tcW w:w="4106" w:type="dxa"/>
            <w:vAlign w:val="center"/>
            <w:hideMark/>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textAlignment w:val="baseline"/>
              <w:rPr>
                <w:rFonts w:ascii="Arial" w:hAnsi="Arial" w:cs="Arial"/>
              </w:rPr>
            </w:pPr>
            <w:r w:rsidRPr="00C460F6">
              <w:rPr>
                <w:rFonts w:ascii="Arial" w:hAnsi="Arial" w:cs="Arial"/>
              </w:rPr>
              <w:t>Project</w:t>
            </w:r>
          </w:p>
        </w:tc>
        <w:tc>
          <w:tcPr>
            <w:tcW w:w="5817" w:type="dxa"/>
            <w:gridSpan w:val="2"/>
            <w:vAlign w:val="center"/>
          </w:tcPr>
          <w:p w:rsidR="00C05F57" w:rsidRPr="00C460F6" w:rsidRDefault="00C460F6"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rPr>
                <w:rFonts w:ascii="Arial" w:hAnsi="Arial" w:cs="Arial"/>
                <w:b/>
                <w:bCs/>
              </w:rPr>
            </w:pPr>
            <w:r w:rsidRPr="00C460F6">
              <w:rPr>
                <w:rFonts w:ascii="Arial" w:hAnsi="Arial" w:cs="Arial"/>
                <w:b/>
                <w:bCs/>
              </w:rPr>
              <w:t>5 x 800 MW YADADRI TPS</w:t>
            </w:r>
          </w:p>
        </w:tc>
      </w:tr>
      <w:tr w:rsidR="00C05F57" w:rsidRPr="00C460F6" w:rsidTr="00C460F6">
        <w:trPr>
          <w:trHeight w:val="103"/>
        </w:trPr>
        <w:tc>
          <w:tcPr>
            <w:tcW w:w="4106" w:type="dxa"/>
            <w:vAlign w:val="center"/>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textAlignment w:val="baseline"/>
              <w:rPr>
                <w:rFonts w:ascii="Arial" w:hAnsi="Arial" w:cs="Arial"/>
              </w:rPr>
            </w:pPr>
            <w:r w:rsidRPr="00C460F6">
              <w:rPr>
                <w:rFonts w:ascii="Arial" w:hAnsi="Arial" w:cs="Arial"/>
              </w:rPr>
              <w:t>End Customer</w:t>
            </w:r>
          </w:p>
        </w:tc>
        <w:tc>
          <w:tcPr>
            <w:tcW w:w="5817" w:type="dxa"/>
            <w:gridSpan w:val="2"/>
            <w:vAlign w:val="center"/>
          </w:tcPr>
          <w:p w:rsidR="00C05F57" w:rsidRPr="00C460F6" w:rsidRDefault="00C460F6"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b/>
              </w:rPr>
            </w:pPr>
            <w:r w:rsidRPr="00C460F6">
              <w:rPr>
                <w:rFonts w:ascii="Arial" w:hAnsi="Arial" w:cs="Arial"/>
                <w:b/>
              </w:rPr>
              <w:t>Telangana State Power Generation Corporation Limited</w:t>
            </w:r>
          </w:p>
        </w:tc>
      </w:tr>
      <w:tr w:rsidR="00C05F57" w:rsidRPr="00C460F6" w:rsidTr="00C460F6">
        <w:trPr>
          <w:trHeight w:val="103"/>
        </w:trPr>
        <w:tc>
          <w:tcPr>
            <w:tcW w:w="4106" w:type="dxa"/>
            <w:vAlign w:val="center"/>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textAlignment w:val="baseline"/>
              <w:rPr>
                <w:rFonts w:ascii="Arial" w:hAnsi="Arial" w:cs="Arial"/>
              </w:rPr>
            </w:pPr>
            <w:r w:rsidRPr="00C460F6">
              <w:rPr>
                <w:rFonts w:ascii="Arial" w:hAnsi="Arial" w:cs="Arial"/>
              </w:rPr>
              <w:t xml:space="preserve">Executing Agency </w:t>
            </w:r>
          </w:p>
        </w:tc>
        <w:tc>
          <w:tcPr>
            <w:tcW w:w="5817" w:type="dxa"/>
            <w:gridSpan w:val="2"/>
            <w:vAlign w:val="center"/>
          </w:tcPr>
          <w:p w:rsidR="00C05F57" w:rsidRPr="00C460F6" w:rsidRDefault="00C05F57" w:rsidP="00C460F6">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b/>
              </w:rPr>
            </w:pPr>
            <w:r w:rsidRPr="00C460F6">
              <w:rPr>
                <w:rFonts w:ascii="Arial" w:hAnsi="Arial" w:cs="Arial"/>
                <w:b/>
              </w:rPr>
              <w:t>BHEL-PS</w:t>
            </w:r>
            <w:r w:rsidR="00C460F6">
              <w:rPr>
                <w:rFonts w:ascii="Arial" w:hAnsi="Arial" w:cs="Arial"/>
                <w:b/>
              </w:rPr>
              <w:t>S</w:t>
            </w:r>
            <w:r w:rsidRPr="00C460F6">
              <w:rPr>
                <w:rFonts w:ascii="Arial" w:hAnsi="Arial" w:cs="Arial"/>
                <w:b/>
              </w:rPr>
              <w:t>R</w:t>
            </w:r>
          </w:p>
        </w:tc>
      </w:tr>
      <w:tr w:rsidR="00C05F57" w:rsidRPr="00C460F6" w:rsidTr="00C460F6">
        <w:trPr>
          <w:trHeight w:val="103"/>
        </w:trPr>
        <w:tc>
          <w:tcPr>
            <w:tcW w:w="4106" w:type="dxa"/>
            <w:vAlign w:val="center"/>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textAlignment w:val="baseline"/>
              <w:rPr>
                <w:rFonts w:ascii="Arial" w:hAnsi="Arial" w:cs="Arial"/>
              </w:rPr>
            </w:pPr>
            <w:r w:rsidRPr="00C460F6">
              <w:rPr>
                <w:rFonts w:ascii="Arial" w:hAnsi="Arial" w:cs="Arial"/>
              </w:rPr>
              <w:t xml:space="preserve">Nature of Package </w:t>
            </w:r>
          </w:p>
          <w:p w:rsidR="00C05F57" w:rsidRPr="00C460F6" w:rsidRDefault="00C05F57" w:rsidP="00123583">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rPr>
                <w:rFonts w:ascii="Arial" w:hAnsi="Arial" w:cs="Arial"/>
              </w:rPr>
            </w:pPr>
            <w:r w:rsidRPr="00C460F6">
              <w:rPr>
                <w:rFonts w:ascii="Arial" w:hAnsi="Arial" w:cs="Arial"/>
              </w:rPr>
              <w:t>(Divisible/Non-Divisible)</w:t>
            </w:r>
          </w:p>
        </w:tc>
        <w:tc>
          <w:tcPr>
            <w:tcW w:w="5817" w:type="dxa"/>
            <w:gridSpan w:val="2"/>
            <w:vAlign w:val="center"/>
          </w:tcPr>
          <w:p w:rsidR="00C05F57" w:rsidRPr="00C460F6" w:rsidRDefault="00C05F57"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rPr>
                <w:rFonts w:ascii="Arial" w:hAnsi="Arial" w:cs="Arial"/>
                <w:b/>
                <w:bCs/>
              </w:rPr>
            </w:pPr>
            <w:r w:rsidRPr="00C460F6">
              <w:rPr>
                <w:rFonts w:ascii="Arial" w:hAnsi="Arial" w:cs="Arial"/>
                <w:b/>
                <w:bCs/>
              </w:rPr>
              <w:t>Non-Divisible</w:t>
            </w:r>
          </w:p>
        </w:tc>
      </w:tr>
      <w:tr w:rsidR="00C05F57" w:rsidRPr="00C460F6" w:rsidTr="00C460F6">
        <w:trPr>
          <w:trHeight w:val="260"/>
        </w:trPr>
        <w:tc>
          <w:tcPr>
            <w:tcW w:w="4106" w:type="dxa"/>
            <w:vAlign w:val="center"/>
          </w:tcPr>
          <w:p w:rsidR="00C05F57" w:rsidRPr="00C460F6" w:rsidRDefault="00C05F57" w:rsidP="00C460F6">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6" w:hanging="284"/>
              <w:textAlignment w:val="baseline"/>
              <w:rPr>
                <w:rFonts w:ascii="Arial" w:hAnsi="Arial" w:cs="Arial"/>
              </w:rPr>
            </w:pPr>
            <w:r w:rsidRPr="00C460F6">
              <w:rPr>
                <w:rFonts w:ascii="Arial" w:hAnsi="Arial" w:cs="Arial"/>
              </w:rPr>
              <w:t xml:space="preserve">Technical Scope  </w:t>
            </w:r>
            <w:sdt>
              <w:sdtPr>
                <w:rPr>
                  <w:rFonts w:ascii="Arial" w:hAnsi="Arial" w:cs="Arial"/>
                </w:rPr>
                <w:id w:val="-708877102"/>
                <w:placeholder>
                  <w:docPart w:val="7088C009378C4C7CA4F212A7F488B0C2"/>
                </w:placeholder>
              </w:sdtPr>
              <w:sdtEndPr/>
              <w:sdtContent>
                <w:r w:rsidRPr="00C460F6">
                  <w:rPr>
                    <w:rFonts w:ascii="Arial" w:hAnsi="Arial" w:cs="Arial"/>
                  </w:rPr>
                  <w:t xml:space="preserve"> </w:t>
                </w:r>
              </w:sdtContent>
            </w:sdt>
          </w:p>
        </w:tc>
        <w:tc>
          <w:tcPr>
            <w:tcW w:w="5817" w:type="dxa"/>
            <w:gridSpan w:val="2"/>
            <w:vAlign w:val="center"/>
          </w:tcPr>
          <w:p w:rsidR="00C05F57" w:rsidRPr="00C460F6" w:rsidRDefault="00BB4A1C"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b/>
                <w:bCs/>
              </w:rPr>
            </w:pPr>
            <w:sdt>
              <w:sdtPr>
                <w:rPr>
                  <w:rFonts w:ascii="Arial" w:hAnsi="Arial" w:cs="Arial"/>
                </w:rPr>
                <w:id w:val="1716469608"/>
                <w:placeholder>
                  <w:docPart w:val="AB3F09A9CA3D48729F54F0BE4C37313F"/>
                </w:placeholder>
              </w:sdtPr>
              <w:sdtEndPr/>
              <w:sdtContent>
                <w:r w:rsidR="00C05F57" w:rsidRPr="00C460F6">
                  <w:rPr>
                    <w:rFonts w:ascii="Arial" w:hAnsi="Arial" w:cs="Arial"/>
                  </w:rPr>
                  <w:t xml:space="preserve">As per  Technical specification </w:t>
                </w:r>
              </w:sdtContent>
            </w:sdt>
            <w:r w:rsidR="00C05F57" w:rsidRPr="00C460F6">
              <w:rPr>
                <w:rFonts w:ascii="Arial" w:hAnsi="Arial" w:cs="Arial"/>
              </w:rPr>
              <w:t xml:space="preserve">No: </w:t>
            </w:r>
            <w:r w:rsidR="00C460F6">
              <w:rPr>
                <w:rFonts w:ascii="Arial" w:hAnsi="Arial" w:cs="Arial"/>
              </w:rPr>
              <w:t>PE-TS-417-554-A002</w:t>
            </w:r>
          </w:p>
        </w:tc>
      </w:tr>
      <w:tr w:rsidR="00C05F57" w:rsidRPr="00C460F6" w:rsidTr="00C460F6">
        <w:trPr>
          <w:trHeight w:val="272"/>
        </w:trPr>
        <w:tc>
          <w:tcPr>
            <w:tcW w:w="4106" w:type="dxa"/>
            <w:vAlign w:val="center"/>
          </w:tcPr>
          <w:p w:rsidR="00C05F57" w:rsidRPr="00C460F6" w:rsidRDefault="00C05F57" w:rsidP="00C460F6">
            <w:pPr>
              <w:pStyle w:val="ListParagraph"/>
              <w:numPr>
                <w:ilvl w:val="0"/>
                <w:numId w:val="19"/>
              </w:numPr>
              <w:tabs>
                <w:tab w:val="left" w:pos="306"/>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textAlignment w:val="baseline"/>
              <w:rPr>
                <w:rFonts w:ascii="Arial" w:hAnsi="Arial" w:cs="Arial"/>
              </w:rPr>
            </w:pPr>
            <w:r w:rsidRPr="00C460F6">
              <w:rPr>
                <w:rFonts w:ascii="Arial" w:hAnsi="Arial" w:cs="Arial"/>
              </w:rPr>
              <w:t xml:space="preserve">Schedule of Pre-Bid Discussion </w:t>
            </w:r>
          </w:p>
        </w:tc>
        <w:tc>
          <w:tcPr>
            <w:tcW w:w="5817" w:type="dxa"/>
            <w:gridSpan w:val="2"/>
            <w:vAlign w:val="center"/>
          </w:tcPr>
          <w:p w:rsidR="00C05F57" w:rsidRPr="00C460F6" w:rsidRDefault="00C05F57"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sidRPr="00C460F6">
              <w:rPr>
                <w:rFonts w:ascii="Arial" w:hAnsi="Arial" w:cs="Arial"/>
              </w:rPr>
              <w:t>Based on Bidder’s request, Pre-Bid meeting shall be arranged.</w:t>
            </w:r>
          </w:p>
        </w:tc>
      </w:tr>
      <w:tr w:rsidR="00C05F57" w:rsidRPr="00C460F6" w:rsidTr="00C460F6">
        <w:trPr>
          <w:trHeight w:val="290"/>
        </w:trPr>
        <w:tc>
          <w:tcPr>
            <w:tcW w:w="4106" w:type="dxa"/>
            <w:vAlign w:val="center"/>
          </w:tcPr>
          <w:p w:rsidR="00C05F57" w:rsidRPr="00C460F6" w:rsidRDefault="00C05F57" w:rsidP="00C460F6">
            <w:pPr>
              <w:pStyle w:val="ListParagraph"/>
              <w:numPr>
                <w:ilvl w:val="0"/>
                <w:numId w:val="19"/>
              </w:numPr>
              <w:tabs>
                <w:tab w:val="left" w:pos="306"/>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textAlignment w:val="baseline"/>
              <w:rPr>
                <w:rFonts w:ascii="Arial" w:hAnsi="Arial" w:cs="Arial"/>
              </w:rPr>
            </w:pPr>
            <w:r w:rsidRPr="00C460F6">
              <w:rPr>
                <w:rFonts w:ascii="Arial" w:hAnsi="Arial" w:cs="Arial"/>
              </w:rPr>
              <w:t>Prequalification Requirement</w:t>
            </w:r>
          </w:p>
        </w:tc>
        <w:sdt>
          <w:sdtPr>
            <w:rPr>
              <w:rFonts w:ascii="Arial" w:hAnsi="Arial" w:cs="Arial"/>
            </w:rPr>
            <w:alias w:val="Applicability"/>
            <w:tag w:val="Applicability"/>
            <w:id w:val="-81522104"/>
            <w:placeholder>
              <w:docPart w:val="8F9062D3BA7B4613A8C25BDA424ED5B9"/>
            </w:placeholder>
            <w:dropDownList>
              <w:listItem w:value="Choose an item."/>
              <w:listItem w:displayText="Financial PQR- YES" w:value="Financial PQR- YES"/>
              <w:listItem w:displayText="Financial PQR-NO" w:value="Financial PQR-NO"/>
            </w:dropDownList>
          </w:sdtPr>
          <w:sdtEndPr/>
          <w:sdtContent>
            <w:tc>
              <w:tcPr>
                <w:tcW w:w="2278" w:type="dxa"/>
                <w:vAlign w:val="center"/>
              </w:tcPr>
              <w:p w:rsidR="00C05F57" w:rsidRPr="00C460F6" w:rsidRDefault="00C05F57"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sidRPr="00C460F6">
                  <w:rPr>
                    <w:rFonts w:ascii="Arial" w:hAnsi="Arial" w:cs="Arial"/>
                  </w:rPr>
                  <w:t>Financial PQR- YES</w:t>
                </w:r>
              </w:p>
            </w:tc>
          </w:sdtContent>
        </w:sdt>
        <w:sdt>
          <w:sdtPr>
            <w:rPr>
              <w:rFonts w:ascii="Arial" w:hAnsi="Arial" w:cs="Arial"/>
            </w:rPr>
            <w:alias w:val="Applicability"/>
            <w:tag w:val="Applicability"/>
            <w:id w:val="419070771"/>
            <w:placeholder>
              <w:docPart w:val="E0A2AD58D39A4DA5933F7631CA739479"/>
            </w:placeholder>
            <w:dropDownList>
              <w:listItem w:value="Choose an item."/>
              <w:listItem w:displayText="Technical PQR- YES" w:value="Technical PQR- YES"/>
              <w:listItem w:displayText="Technical PQR-NO" w:value="Technical PQR-NO"/>
            </w:dropDownList>
          </w:sdtPr>
          <w:sdtEndPr/>
          <w:sdtContent>
            <w:tc>
              <w:tcPr>
                <w:tcW w:w="3539" w:type="dxa"/>
                <w:vAlign w:val="center"/>
              </w:tcPr>
              <w:p w:rsidR="00C05F57" w:rsidRPr="00C460F6" w:rsidRDefault="00C05F57"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sidRPr="00C460F6">
                  <w:rPr>
                    <w:rFonts w:ascii="Arial" w:hAnsi="Arial" w:cs="Arial"/>
                  </w:rPr>
                  <w:t>Technical PQR- YES</w:t>
                </w:r>
              </w:p>
            </w:tc>
          </w:sdtContent>
        </w:sdt>
      </w:tr>
      <w:tr w:rsidR="00C05F57" w:rsidRPr="00C460F6" w:rsidTr="00C460F6">
        <w:trPr>
          <w:trHeight w:val="280"/>
        </w:trPr>
        <w:tc>
          <w:tcPr>
            <w:tcW w:w="4106" w:type="dxa"/>
            <w:vAlign w:val="center"/>
          </w:tcPr>
          <w:p w:rsidR="00C05F57" w:rsidRPr="00C460F6" w:rsidRDefault="00C05F57" w:rsidP="00C460F6">
            <w:pPr>
              <w:pStyle w:val="ListParagraph"/>
              <w:numPr>
                <w:ilvl w:val="0"/>
                <w:numId w:val="19"/>
              </w:numPr>
              <w:tabs>
                <w:tab w:val="left" w:pos="22"/>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6" w:hanging="284"/>
              <w:textAlignment w:val="baseline"/>
              <w:rPr>
                <w:rFonts w:ascii="Arial" w:hAnsi="Arial" w:cs="Arial"/>
              </w:rPr>
            </w:pPr>
            <w:r w:rsidRPr="00C460F6">
              <w:rPr>
                <w:rFonts w:ascii="Arial" w:hAnsi="Arial" w:cs="Arial"/>
              </w:rPr>
              <w:t>Delivery terms for Supply portion</w:t>
            </w:r>
          </w:p>
        </w:tc>
        <w:sdt>
          <w:sdtPr>
            <w:rPr>
              <w:rFonts w:ascii="Arial" w:hAnsi="Arial" w:cs="Arial"/>
            </w:rPr>
            <w:alias w:val="Select Delivery Terms"/>
            <w:tag w:val="Select Delivery Terms"/>
            <w:id w:val="-1193212675"/>
            <w:placeholder>
              <w:docPart w:val="60A0BD712C9E498996FFF5B999A7EF8C"/>
            </w:placeholder>
            <w15:color w:val="FF0000"/>
            <w:dropDownList>
              <w:listItem w:displayText="Select Delivery Terms" w:value="Select Delivery Terms"/>
              <w:listItem w:displayText="FOR Despatch Station" w:value="FOR Despatch Station"/>
              <w:listItem w:displayText="Ex-Works" w:value="Ex-Works"/>
              <w:listItem w:displayText="C&amp;F" w:value="C&amp;F"/>
            </w:dropDownList>
          </w:sdtPr>
          <w:sdtEndPr/>
          <w:sdtContent>
            <w:tc>
              <w:tcPr>
                <w:tcW w:w="5817" w:type="dxa"/>
                <w:gridSpan w:val="2"/>
                <w:vAlign w:val="center"/>
              </w:tcPr>
              <w:p w:rsidR="00C05F57" w:rsidRPr="00C460F6" w:rsidRDefault="00C05F57"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sidRPr="00C460F6">
                  <w:rPr>
                    <w:rFonts w:ascii="Arial" w:hAnsi="Arial" w:cs="Arial"/>
                  </w:rPr>
                  <w:t>FOR Despatch Station</w:t>
                </w:r>
              </w:p>
            </w:tc>
          </w:sdtContent>
        </w:sdt>
      </w:tr>
      <w:tr w:rsidR="00C05F57" w:rsidRPr="00C460F6" w:rsidTr="00C460F6">
        <w:trPr>
          <w:trHeight w:val="270"/>
        </w:trPr>
        <w:tc>
          <w:tcPr>
            <w:tcW w:w="4106" w:type="dxa"/>
            <w:vAlign w:val="center"/>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textAlignment w:val="baseline"/>
              <w:rPr>
                <w:rFonts w:ascii="Arial" w:hAnsi="Arial" w:cs="Arial"/>
              </w:rPr>
            </w:pPr>
            <w:r w:rsidRPr="00C460F6">
              <w:rPr>
                <w:rFonts w:ascii="Arial" w:hAnsi="Arial" w:cs="Arial"/>
              </w:rPr>
              <w:t xml:space="preserve">Integrity Pact Applicability - </w:t>
            </w:r>
          </w:p>
        </w:tc>
        <w:sdt>
          <w:sdtPr>
            <w:rPr>
              <w:rFonts w:ascii="Arial" w:hAnsi="Arial" w:cs="Arial"/>
            </w:rPr>
            <w:alias w:val="Applicability"/>
            <w:tag w:val="Applicability"/>
            <w:id w:val="429935666"/>
            <w:placeholder>
              <w:docPart w:val="CA9714A198FA4ED3938BC84B04EEF8F6"/>
            </w:placeholder>
            <w:dropDownList>
              <w:listItem w:value="Choose an item."/>
              <w:listItem w:displayText="YES" w:value="YES"/>
              <w:listItem w:displayText="NO" w:value="NO"/>
            </w:dropDownList>
          </w:sdtPr>
          <w:sdtEndPr/>
          <w:sdtContent>
            <w:tc>
              <w:tcPr>
                <w:tcW w:w="5817" w:type="dxa"/>
                <w:gridSpan w:val="2"/>
                <w:vAlign w:val="center"/>
              </w:tcPr>
              <w:p w:rsidR="00C05F57" w:rsidRPr="00C460F6" w:rsidRDefault="00C05F57" w:rsidP="00123583">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sidRPr="00C460F6">
                  <w:rPr>
                    <w:rFonts w:ascii="Arial" w:hAnsi="Arial" w:cs="Arial"/>
                  </w:rPr>
                  <w:t>YES</w:t>
                </w:r>
              </w:p>
            </w:tc>
          </w:sdtContent>
        </w:sdt>
      </w:tr>
      <w:tr w:rsidR="00C05F57" w:rsidRPr="00C460F6" w:rsidTr="00123583">
        <w:trPr>
          <w:trHeight w:val="270"/>
        </w:trPr>
        <w:tc>
          <w:tcPr>
            <w:tcW w:w="9923" w:type="dxa"/>
            <w:gridSpan w:val="3"/>
            <w:vAlign w:val="center"/>
          </w:tcPr>
          <w:p w:rsidR="00C05F57" w:rsidRPr="00C460F6" w:rsidRDefault="00C05F57" w:rsidP="00C460F6">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contextualSpacing w:val="0"/>
              <w:jc w:val="both"/>
              <w:rPr>
                <w:rFonts w:ascii="Arial" w:hAnsi="Arial" w:cs="Arial"/>
              </w:rPr>
            </w:pPr>
            <w:r w:rsidRPr="00C460F6">
              <w:rPr>
                <w:rFonts w:ascii="Arial" w:hAnsi="Arial" w:cs="Arial"/>
              </w:rPr>
              <w:t>Bidders</w:t>
            </w:r>
            <w:r w:rsidR="00C460F6">
              <w:rPr>
                <w:rFonts w:ascii="Arial" w:hAnsi="Arial" w:cs="Arial"/>
              </w:rPr>
              <w:t xml:space="preserve"> can also </w:t>
            </w:r>
            <w:r w:rsidRPr="00C460F6">
              <w:rPr>
                <w:rFonts w:ascii="Arial" w:hAnsi="Arial" w:cs="Arial"/>
              </w:rPr>
              <w:t xml:space="preserve">download detailed </w:t>
            </w:r>
            <w:r w:rsidR="00C460F6">
              <w:rPr>
                <w:rFonts w:ascii="Arial" w:hAnsi="Arial" w:cs="Arial"/>
              </w:rPr>
              <w:t>tender</w:t>
            </w:r>
            <w:r w:rsidRPr="00C460F6">
              <w:rPr>
                <w:rFonts w:ascii="Arial" w:hAnsi="Arial" w:cs="Arial"/>
              </w:rPr>
              <w:t xml:space="preserve"> for subject package &amp; project uploaded at  </w:t>
            </w:r>
            <w:hyperlink r:id="rId7" w:history="1">
              <w:r w:rsidRPr="00C460F6">
                <w:rPr>
                  <w:rStyle w:val="Hyperlink"/>
                  <w:rFonts w:ascii="Arial" w:hAnsi="Arial" w:cs="Arial"/>
                </w:rPr>
                <w:t>www.pem.bhel.com</w:t>
              </w:r>
            </w:hyperlink>
            <w:r w:rsidRPr="00C460F6">
              <w:rPr>
                <w:rFonts w:ascii="Arial" w:hAnsi="Arial" w:cs="Arial"/>
              </w:rPr>
              <w:t xml:space="preserve"> and  </w:t>
            </w:r>
            <w:hyperlink r:id="rId8" w:history="1">
              <w:r w:rsidRPr="00C460F6">
                <w:rPr>
                  <w:rStyle w:val="Hyperlink"/>
                  <w:rFonts w:ascii="Arial" w:hAnsi="Arial" w:cs="Arial"/>
                </w:rPr>
                <w:t>www.bhel.com</w:t>
              </w:r>
            </w:hyperlink>
            <w:r w:rsidR="00C460F6">
              <w:rPr>
                <w:rStyle w:val="Hyperlink"/>
                <w:rFonts w:ascii="Arial" w:hAnsi="Arial" w:cs="Arial"/>
              </w:rPr>
              <w:t>.</w:t>
            </w:r>
          </w:p>
        </w:tc>
      </w:tr>
      <w:tr w:rsidR="00C05F57" w:rsidRPr="00C460F6" w:rsidTr="00123583">
        <w:trPr>
          <w:trHeight w:val="270"/>
        </w:trPr>
        <w:tc>
          <w:tcPr>
            <w:tcW w:w="9923" w:type="dxa"/>
            <w:gridSpan w:val="3"/>
            <w:vAlign w:val="center"/>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C460F6">
              <w:rPr>
                <w:rFonts w:ascii="Arial" w:hAnsi="Arial" w:cs="Arial"/>
              </w:rPr>
              <w:t>In line with cl. No. 12 of (ITB) BOP-GCC, following Independent External Monitors (IEMs) have been appointed by BHEL.</w:t>
            </w:r>
          </w:p>
          <w:p w:rsidR="00C05F57" w:rsidRPr="00C460F6" w:rsidRDefault="00C05F57" w:rsidP="00123583">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Arial" w:hAnsi="Arial" w:cs="Arial"/>
              </w:rPr>
            </w:pPr>
            <w:r w:rsidRPr="00C460F6">
              <w:rPr>
                <w:rFonts w:ascii="Arial" w:hAnsi="Arial" w:cs="Arial"/>
              </w:rPr>
              <w:t xml:space="preserve">Shri </w:t>
            </w:r>
            <w:proofErr w:type="spellStart"/>
            <w:r w:rsidRPr="00C460F6">
              <w:rPr>
                <w:rFonts w:ascii="Arial" w:hAnsi="Arial" w:cs="Arial"/>
              </w:rPr>
              <w:t>Otem</w:t>
            </w:r>
            <w:proofErr w:type="spellEnd"/>
            <w:r w:rsidRPr="00C460F6">
              <w:rPr>
                <w:rFonts w:ascii="Arial" w:hAnsi="Arial" w:cs="Arial"/>
              </w:rPr>
              <w:t xml:space="preserve"> Dai, IAS (</w:t>
            </w:r>
            <w:proofErr w:type="spellStart"/>
            <w:r w:rsidRPr="00C460F6">
              <w:rPr>
                <w:rFonts w:ascii="Arial" w:hAnsi="Arial" w:cs="Arial"/>
              </w:rPr>
              <w:t>Retd</w:t>
            </w:r>
            <w:proofErr w:type="spellEnd"/>
            <w:r w:rsidRPr="00C460F6">
              <w:rPr>
                <w:rFonts w:ascii="Arial" w:hAnsi="Arial" w:cs="Arial"/>
              </w:rPr>
              <w:t>.) (iem1@bhel.in)</w:t>
            </w:r>
          </w:p>
          <w:p w:rsidR="00C05F57" w:rsidRPr="00C460F6" w:rsidRDefault="00C05F57" w:rsidP="00123583">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Arial" w:hAnsi="Arial" w:cs="Arial"/>
              </w:rPr>
            </w:pPr>
            <w:r w:rsidRPr="00C460F6">
              <w:rPr>
                <w:rFonts w:ascii="Arial" w:hAnsi="Arial" w:cs="Arial"/>
              </w:rPr>
              <w:t xml:space="preserve">Shri </w:t>
            </w:r>
            <w:proofErr w:type="spellStart"/>
            <w:r w:rsidRPr="00C460F6">
              <w:rPr>
                <w:rFonts w:ascii="Arial" w:hAnsi="Arial" w:cs="Arial"/>
              </w:rPr>
              <w:t>Bishwamitra</w:t>
            </w:r>
            <w:proofErr w:type="spellEnd"/>
            <w:r w:rsidRPr="00C460F6">
              <w:rPr>
                <w:rFonts w:ascii="Arial" w:hAnsi="Arial" w:cs="Arial"/>
              </w:rPr>
              <w:t xml:space="preserve"> Pandey, IRAS (</w:t>
            </w:r>
            <w:proofErr w:type="spellStart"/>
            <w:r w:rsidRPr="00C460F6">
              <w:rPr>
                <w:rFonts w:ascii="Arial" w:hAnsi="Arial" w:cs="Arial"/>
              </w:rPr>
              <w:t>Retd</w:t>
            </w:r>
            <w:proofErr w:type="spellEnd"/>
            <w:r w:rsidRPr="00C460F6">
              <w:rPr>
                <w:rFonts w:ascii="Arial" w:hAnsi="Arial" w:cs="Arial"/>
              </w:rPr>
              <w:t>.) (iem2@bhel.in)</w:t>
            </w:r>
          </w:p>
          <w:p w:rsidR="00C05F57" w:rsidRPr="00C460F6" w:rsidRDefault="00C05F57" w:rsidP="00123583">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Arial" w:hAnsi="Arial" w:cs="Arial"/>
              </w:rPr>
            </w:pPr>
            <w:r w:rsidRPr="00C460F6">
              <w:rPr>
                <w:rFonts w:ascii="Arial" w:hAnsi="Arial" w:cs="Arial"/>
              </w:rPr>
              <w:t>Shri Mukesh Mittal, IRS (</w:t>
            </w:r>
            <w:proofErr w:type="spellStart"/>
            <w:r w:rsidRPr="00C460F6">
              <w:rPr>
                <w:rFonts w:ascii="Arial" w:hAnsi="Arial" w:cs="Arial"/>
              </w:rPr>
              <w:t>Retd</w:t>
            </w:r>
            <w:proofErr w:type="spellEnd"/>
            <w:r w:rsidRPr="00C460F6">
              <w:rPr>
                <w:rFonts w:ascii="Arial" w:hAnsi="Arial" w:cs="Arial"/>
              </w:rPr>
              <w:t>.) (iem3@bhel.in)</w:t>
            </w:r>
          </w:p>
        </w:tc>
      </w:tr>
      <w:tr w:rsidR="00C05F57" w:rsidRPr="00C460F6" w:rsidTr="00123583">
        <w:trPr>
          <w:trHeight w:val="270"/>
        </w:trPr>
        <w:tc>
          <w:tcPr>
            <w:tcW w:w="9923" w:type="dxa"/>
            <w:gridSpan w:val="3"/>
            <w:vAlign w:val="center"/>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C460F6">
              <w:rPr>
                <w:rFonts w:ascii="Arial" w:hAnsi="Arial" w:cs="Arial"/>
                <w:b/>
                <w:bCs/>
              </w:rPr>
              <w:t>Delivery Schedule</w:t>
            </w:r>
            <w:r w:rsidRPr="00C460F6">
              <w:rPr>
                <w:rFonts w:ascii="Arial" w:hAnsi="Arial" w:cs="Arial"/>
              </w:rPr>
              <w:t xml:space="preserve"> shall be as follows-</w:t>
            </w:r>
          </w:p>
          <w:p w:rsidR="00C05F57" w:rsidRPr="00C460F6" w:rsidRDefault="00C05F57" w:rsidP="00123583">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rPr>
            </w:pP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b/>
                <w:bCs/>
                <w:lang w:val="en-IN"/>
              </w:rPr>
              <w:t>Supply (along with commissioning spares)</w:t>
            </w:r>
            <w:r w:rsidRPr="00C460F6">
              <w:rPr>
                <w:rFonts w:ascii="Arial" w:hAnsi="Arial" w:cs="Arial"/>
                <w:lang w:val="en-IN"/>
              </w:rPr>
              <w:t> – 08 months from the date of LOA.</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 </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b/>
                <w:bCs/>
                <w:lang w:val="en-IN"/>
              </w:rPr>
              <w:t>E&amp;C**</w:t>
            </w:r>
            <w:r w:rsidRPr="00C460F6">
              <w:rPr>
                <w:rFonts w:ascii="Arial" w:hAnsi="Arial" w:cs="Arial"/>
                <w:lang w:val="en-IN"/>
              </w:rPr>
              <w:t> - Within 04 months from the date of availability of front. Site front availability will be reckoned as the date when site informs vendor for mobilization of manpower &amp; resources.</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 </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b/>
                <w:bCs/>
                <w:lang w:val="en-IN"/>
              </w:rPr>
              <w:t>Mandatory Spares</w:t>
            </w:r>
            <w:r w:rsidRPr="00C460F6">
              <w:rPr>
                <w:rFonts w:ascii="Arial" w:hAnsi="Arial" w:cs="Arial"/>
                <w:lang w:val="en-IN"/>
              </w:rPr>
              <w:t> - Mandatory Spares and Tools &amp; tackles (if any) are to be delivered along with the last consignment of main supply within the contractual delivery period.</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 </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b/>
                <w:bCs/>
                <w:lang w:val="en-IN"/>
              </w:rPr>
              <w:t>O&amp;M Services</w:t>
            </w:r>
            <w:r w:rsidRPr="00C460F6">
              <w:rPr>
                <w:rFonts w:ascii="Arial" w:hAnsi="Arial" w:cs="Arial"/>
                <w:lang w:val="en-IN"/>
              </w:rPr>
              <w:t>- Personnel for O&amp;M Services shall be deputed within 10 days of intimation.</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 </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 For PVC calculation purpose contractual delivery for E&amp;C shall be considered as 12 months from LOA.</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 </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Note: Above delivery conditions are to be complied by bidder strictly</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 </w:t>
            </w:r>
          </w:p>
          <w:p w:rsidR="00C460F6" w:rsidRPr="00C460F6" w:rsidRDefault="00C460F6" w:rsidP="00C460F6">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lang w:val="en-IN"/>
              </w:rPr>
            </w:pPr>
            <w:r w:rsidRPr="00C460F6">
              <w:rPr>
                <w:rFonts w:ascii="Arial" w:hAnsi="Arial" w:cs="Arial"/>
                <w:lang w:val="en-IN"/>
              </w:rPr>
              <w:t>Delivery on GeM portal shall be selected as 2190 days. Same shall be indicative to suffice the GeM portal requirement.</w:t>
            </w:r>
          </w:p>
          <w:p w:rsidR="00C05F57" w:rsidRPr="00C460F6" w:rsidRDefault="00C05F57" w:rsidP="00123583">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Arial" w:hAnsi="Arial" w:cs="Arial"/>
              </w:rPr>
            </w:pPr>
          </w:p>
        </w:tc>
      </w:tr>
      <w:tr w:rsidR="00C05F57" w:rsidRPr="00C460F6" w:rsidTr="00123583">
        <w:trPr>
          <w:trHeight w:val="270"/>
        </w:trPr>
        <w:tc>
          <w:tcPr>
            <w:tcW w:w="9923" w:type="dxa"/>
            <w:gridSpan w:val="3"/>
            <w:vAlign w:val="center"/>
          </w:tcPr>
          <w:p w:rsidR="00C05F57" w:rsidRPr="00C460F6" w:rsidRDefault="00C05F57" w:rsidP="00C05F57">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C460F6">
              <w:rPr>
                <w:rFonts w:ascii="Arial" w:hAnsi="Arial" w:cs="Arial"/>
                <w:b/>
                <w:bCs/>
              </w:rPr>
              <w:t>Payment Terms</w:t>
            </w:r>
            <w:r w:rsidRPr="00C460F6">
              <w:rPr>
                <w:rFonts w:ascii="Arial" w:hAnsi="Arial" w:cs="Arial"/>
              </w:rPr>
              <w:t xml:space="preserve"> - As per GCC BOP Rev-00. Provision of offline payment in GeM shall be utilized.</w:t>
            </w:r>
          </w:p>
        </w:tc>
      </w:tr>
      <w:tr w:rsidR="00C05F57" w:rsidRPr="00C460F6" w:rsidTr="00C460F6">
        <w:trPr>
          <w:trHeight w:val="70"/>
        </w:trPr>
        <w:tc>
          <w:tcPr>
            <w:tcW w:w="9923" w:type="dxa"/>
            <w:gridSpan w:val="3"/>
            <w:vAlign w:val="center"/>
          </w:tcPr>
          <w:p w:rsidR="00C05F57" w:rsidRPr="00C460F6" w:rsidRDefault="00C05F57" w:rsidP="00C460F6">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spacing w:after="120"/>
              <w:ind w:left="357" w:hanging="357"/>
              <w:contextualSpacing w:val="0"/>
              <w:jc w:val="both"/>
              <w:textAlignment w:val="baseline"/>
              <w:rPr>
                <w:rFonts w:ascii="Arial" w:hAnsi="Arial" w:cs="Arial"/>
              </w:rPr>
            </w:pPr>
            <w:r w:rsidRPr="00C460F6">
              <w:rPr>
                <w:rFonts w:ascii="Arial" w:hAnsi="Arial" w:cs="Arial"/>
                <w:b/>
                <w:bCs/>
              </w:rPr>
              <w:t>Evaluation Criteria</w:t>
            </w:r>
            <w:r w:rsidRPr="00C460F6">
              <w:rPr>
                <w:rFonts w:ascii="Arial" w:hAnsi="Arial" w:cs="Arial"/>
              </w:rPr>
              <w:t xml:space="preserve"> - Total Package Price (including freight and taxes)</w:t>
            </w:r>
          </w:p>
          <w:p w:rsidR="00C460F6" w:rsidRPr="00C460F6" w:rsidRDefault="00C460F6" w:rsidP="00C460F6">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spacing w:after="120"/>
              <w:ind w:left="357"/>
              <w:jc w:val="both"/>
              <w:textAlignment w:val="baseline"/>
              <w:rPr>
                <w:rFonts w:ascii="Arial" w:hAnsi="Arial" w:cs="Arial"/>
              </w:rPr>
            </w:pPr>
            <w:r w:rsidRPr="00C460F6">
              <w:rPr>
                <w:rFonts w:ascii="Arial" w:hAnsi="Arial" w:cs="Arial"/>
              </w:rPr>
              <w:t>Bidder has to quote the total package price of complete scope, as per technical specification, in GeM. Price break up of total package price shall be provided by bidder in price format uploaded in GeM.</w:t>
            </w:r>
          </w:p>
          <w:p w:rsidR="00C05F57" w:rsidRPr="00C460F6" w:rsidRDefault="00C460F6" w:rsidP="00C460F6">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ascii="Arial" w:hAnsi="Arial" w:cs="Arial"/>
              </w:rPr>
            </w:pPr>
            <w:r w:rsidRPr="00C460F6">
              <w:rPr>
                <w:rFonts w:ascii="Arial" w:hAnsi="Arial" w:cs="Arial"/>
              </w:rPr>
              <w:t>In case of discrepancy between total package price and price break up, total price quoted on GeM shall prevail and break up shall be corrected accordingly.</w:t>
            </w:r>
          </w:p>
        </w:tc>
      </w:tr>
    </w:tbl>
    <w:p w:rsidR="001A0611" w:rsidRPr="001A0611" w:rsidRDefault="00C460F6" w:rsidP="001A0611">
      <w:pPr>
        <w:pStyle w:val="ListParagraph"/>
        <w:tabs>
          <w:tab w:val="left" w:pos="1350"/>
        </w:tabs>
        <w:spacing w:after="0" w:line="240" w:lineRule="auto"/>
        <w:ind w:left="142"/>
        <w:jc w:val="both"/>
        <w:rPr>
          <w:rFonts w:ascii="Arial" w:hAnsi="Arial" w:cs="Arial"/>
        </w:rPr>
      </w:pPr>
      <w:r>
        <w:rPr>
          <w:rFonts w:ascii="Arial" w:hAnsi="Arial" w:cs="Arial"/>
        </w:rPr>
        <w:tab/>
      </w:r>
    </w:p>
    <w:p w:rsidR="001A0611" w:rsidRPr="001A0611" w:rsidRDefault="001A0611" w:rsidP="001A0611">
      <w:pPr>
        <w:pStyle w:val="ListParagraph"/>
        <w:spacing w:after="0" w:line="240" w:lineRule="auto"/>
        <w:ind w:left="142"/>
        <w:jc w:val="both"/>
        <w:rPr>
          <w:rFonts w:ascii="Arial" w:hAnsi="Arial" w:cs="Arial"/>
          <w:b/>
          <w:bCs/>
        </w:rPr>
      </w:pPr>
      <w:r w:rsidRPr="001A0611">
        <w:rPr>
          <w:rFonts w:ascii="Arial" w:hAnsi="Arial" w:cs="Arial"/>
          <w:b/>
          <w:bCs/>
        </w:rPr>
        <w:lastRenderedPageBreak/>
        <w:t>Bidders to note the following Additional Terms and Conditions for subject tender-</w:t>
      </w:r>
    </w:p>
    <w:p w:rsidR="001A0611" w:rsidRDefault="001A0611" w:rsidP="001A0611">
      <w:pPr>
        <w:pStyle w:val="ListParagraph"/>
        <w:spacing w:after="0" w:line="240" w:lineRule="auto"/>
        <w:ind w:left="142"/>
        <w:jc w:val="both"/>
        <w:rPr>
          <w:rFonts w:ascii="Arial" w:hAnsi="Arial" w:cs="Arial"/>
        </w:rPr>
      </w:pPr>
    </w:p>
    <w:p w:rsidR="00C943A2" w:rsidRPr="00C460F6" w:rsidRDefault="00C943A2" w:rsidP="00C05F57">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 xml:space="preserve">Bidder to note that this is an Open Tender enquiry &amp; PBO/RA participation shall be subject to following condition: </w:t>
      </w:r>
    </w:p>
    <w:p w:rsidR="00C943A2" w:rsidRPr="00C460F6" w:rsidRDefault="00C943A2" w:rsidP="00C943A2">
      <w:pPr>
        <w:pStyle w:val="ListParagraph"/>
        <w:spacing w:after="0" w:line="240" w:lineRule="auto"/>
        <w:ind w:left="142"/>
        <w:jc w:val="both"/>
        <w:rPr>
          <w:rFonts w:ascii="Arial" w:hAnsi="Arial" w:cs="Arial"/>
        </w:rPr>
      </w:pPr>
    </w:p>
    <w:p w:rsidR="00C943A2" w:rsidRPr="00C460F6" w:rsidRDefault="00C943A2" w:rsidP="00C943A2">
      <w:pPr>
        <w:pStyle w:val="ListParagraph"/>
        <w:numPr>
          <w:ilvl w:val="2"/>
          <w:numId w:val="13"/>
        </w:numPr>
        <w:spacing w:after="0" w:line="240" w:lineRule="auto"/>
        <w:ind w:left="851" w:hanging="425"/>
        <w:rPr>
          <w:rFonts w:ascii="Arial" w:hAnsi="Arial" w:cs="Arial"/>
        </w:rPr>
      </w:pPr>
      <w:r w:rsidRPr="00C460F6">
        <w:rPr>
          <w:rFonts w:ascii="Arial" w:hAnsi="Arial" w:cs="Arial"/>
        </w:rPr>
        <w:t>Qualifying Technical &amp; Financial Pre-Qualification Requirement.</w:t>
      </w:r>
    </w:p>
    <w:p w:rsidR="00C943A2" w:rsidRPr="00C460F6" w:rsidRDefault="00C943A2" w:rsidP="00C943A2">
      <w:pPr>
        <w:pStyle w:val="ListParagraph"/>
        <w:numPr>
          <w:ilvl w:val="2"/>
          <w:numId w:val="13"/>
        </w:numPr>
        <w:spacing w:after="0" w:line="240" w:lineRule="auto"/>
        <w:ind w:left="851" w:hanging="425"/>
        <w:rPr>
          <w:rFonts w:ascii="Arial" w:hAnsi="Arial" w:cs="Arial"/>
        </w:rPr>
      </w:pPr>
      <w:r w:rsidRPr="00C460F6">
        <w:rPr>
          <w:rFonts w:ascii="Arial" w:hAnsi="Arial" w:cs="Arial"/>
        </w:rPr>
        <w:t>Techno-commercial acceptance of offer by BHEL-PEM.</w:t>
      </w:r>
    </w:p>
    <w:p w:rsidR="00C943A2" w:rsidRPr="00C460F6" w:rsidRDefault="00C943A2" w:rsidP="00C943A2">
      <w:pPr>
        <w:pStyle w:val="ListParagraph"/>
        <w:numPr>
          <w:ilvl w:val="2"/>
          <w:numId w:val="13"/>
        </w:numPr>
        <w:spacing w:after="0" w:line="240" w:lineRule="auto"/>
        <w:ind w:left="851" w:hanging="425"/>
        <w:jc w:val="both"/>
        <w:rPr>
          <w:rFonts w:ascii="Arial" w:hAnsi="Arial" w:cs="Arial"/>
        </w:rPr>
      </w:pPr>
      <w:r w:rsidRPr="00C460F6">
        <w:rPr>
          <w:rFonts w:ascii="Arial" w:hAnsi="Arial" w:cs="Arial"/>
        </w:rPr>
        <w:t>Approval of bidder by End Customer: - Same shall be taken up with end customer based on the latest credentials/reference list furnished by bidder in the format. Accordingly, bidders are requested to submit credential along with their technical bid.</w:t>
      </w:r>
    </w:p>
    <w:p w:rsidR="00C943A2" w:rsidRPr="00C460F6" w:rsidRDefault="00C943A2" w:rsidP="00C943A2">
      <w:pPr>
        <w:pStyle w:val="ListParagraph"/>
        <w:spacing w:after="0" w:line="240" w:lineRule="auto"/>
        <w:ind w:left="851"/>
        <w:rPr>
          <w:rFonts w:ascii="Arial" w:hAnsi="Arial" w:cs="Arial"/>
        </w:rPr>
      </w:pPr>
    </w:p>
    <w:p w:rsidR="00C943A2" w:rsidRPr="00C460F6" w:rsidRDefault="00C943A2" w:rsidP="00C943A2">
      <w:pPr>
        <w:pStyle w:val="ListParagraph"/>
        <w:spacing w:after="0" w:line="240" w:lineRule="auto"/>
        <w:ind w:left="142"/>
        <w:jc w:val="both"/>
        <w:rPr>
          <w:rFonts w:ascii="Arial" w:hAnsi="Arial" w:cs="Arial"/>
        </w:rPr>
      </w:pPr>
      <w:r w:rsidRPr="00C460F6">
        <w:rPr>
          <w:rFonts w:ascii="Arial" w:hAnsi="Arial" w:cs="Arial"/>
        </w:rPr>
        <w:t>The bidders who are not registered with BHEL-PEM may apply for registration in BHEL-PEM through Registration Portal available at www.pem.bhel.com --&gt;vendor section--&gt;online supplier registration. All credentials and/or documents duly signed &amp; stamped related to registration has to be uploaded on the website &amp; submit the application for registration. One set of hard copy filled-up SRF downloaded from Online Registration Portal duly signed &amp; stamped has to be submitted.</w:t>
      </w:r>
    </w:p>
    <w:p w:rsidR="00C943A2" w:rsidRPr="00C460F6" w:rsidRDefault="00C943A2" w:rsidP="00C943A2">
      <w:pPr>
        <w:pStyle w:val="ListParagraph"/>
        <w:spacing w:after="0" w:line="240" w:lineRule="auto"/>
        <w:ind w:left="142"/>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 xml:space="preserve">Vendors shall submit billing documents for payment directly to BHEL. Payment will be released within days as mentioned below after submission of complete documents:  </w:t>
      </w:r>
    </w:p>
    <w:p w:rsidR="00C943A2" w:rsidRPr="00C460F6" w:rsidRDefault="00C943A2" w:rsidP="00C943A2">
      <w:pPr>
        <w:pStyle w:val="ListParagraph"/>
        <w:spacing w:after="0" w:line="240" w:lineRule="auto"/>
        <w:ind w:left="142"/>
        <w:jc w:val="both"/>
        <w:rPr>
          <w:rFonts w:ascii="Arial" w:hAnsi="Arial" w:cs="Arial"/>
        </w:rPr>
      </w:pPr>
    </w:p>
    <w:p w:rsidR="00C943A2" w:rsidRPr="00C460F6" w:rsidRDefault="00C943A2" w:rsidP="00C943A2">
      <w:pPr>
        <w:pStyle w:val="ListParagraph"/>
        <w:numPr>
          <w:ilvl w:val="0"/>
          <w:numId w:val="15"/>
        </w:numPr>
        <w:spacing w:after="0" w:line="240" w:lineRule="auto"/>
        <w:rPr>
          <w:rFonts w:ascii="Arial" w:hAnsi="Arial" w:cs="Arial"/>
        </w:rPr>
      </w:pPr>
      <w:r w:rsidRPr="00C460F6">
        <w:rPr>
          <w:rFonts w:ascii="Arial" w:hAnsi="Arial" w:cs="Arial"/>
        </w:rPr>
        <w:t>90 days for non MSME as per MSMED Act</w:t>
      </w:r>
    </w:p>
    <w:p w:rsidR="00C943A2" w:rsidRPr="00C460F6" w:rsidRDefault="00C943A2" w:rsidP="00C943A2">
      <w:pPr>
        <w:pStyle w:val="ListParagraph"/>
        <w:numPr>
          <w:ilvl w:val="0"/>
          <w:numId w:val="15"/>
        </w:numPr>
        <w:spacing w:after="0" w:line="240" w:lineRule="auto"/>
        <w:jc w:val="both"/>
        <w:rPr>
          <w:rFonts w:ascii="Arial" w:hAnsi="Arial" w:cs="Arial"/>
        </w:rPr>
      </w:pPr>
      <w:r w:rsidRPr="00C460F6">
        <w:rPr>
          <w:rFonts w:ascii="Arial" w:hAnsi="Arial" w:cs="Arial"/>
        </w:rPr>
        <w:t>45 days for vendors qualified and registered as Micro and Small Enterprises MSEs as per MSMED Act</w:t>
      </w:r>
    </w:p>
    <w:p w:rsidR="00C943A2" w:rsidRPr="00C460F6" w:rsidRDefault="00C943A2" w:rsidP="00C943A2">
      <w:pPr>
        <w:pStyle w:val="ListParagraph"/>
        <w:numPr>
          <w:ilvl w:val="0"/>
          <w:numId w:val="15"/>
        </w:numPr>
        <w:spacing w:after="0" w:line="240" w:lineRule="auto"/>
        <w:rPr>
          <w:rFonts w:ascii="Arial" w:hAnsi="Arial" w:cs="Arial"/>
        </w:rPr>
      </w:pPr>
      <w:r w:rsidRPr="00C460F6">
        <w:rPr>
          <w:rFonts w:ascii="Arial" w:hAnsi="Arial" w:cs="Arial"/>
        </w:rPr>
        <w:t xml:space="preserve">60 days for vendors qualified as Medium Enterprises as per MSMED Act.  </w:t>
      </w:r>
    </w:p>
    <w:p w:rsidR="00C943A2" w:rsidRPr="00C460F6" w:rsidRDefault="00C943A2" w:rsidP="00C943A2">
      <w:pPr>
        <w:pStyle w:val="ListParagraph"/>
        <w:spacing w:after="0" w:line="240" w:lineRule="auto"/>
        <w:ind w:left="142"/>
        <w:rPr>
          <w:rFonts w:ascii="Arial" w:hAnsi="Arial" w:cs="Arial"/>
        </w:rPr>
      </w:pPr>
    </w:p>
    <w:p w:rsidR="00C943A2" w:rsidRPr="00C460F6" w:rsidRDefault="00C943A2" w:rsidP="00713909">
      <w:pPr>
        <w:spacing w:after="0" w:line="240" w:lineRule="auto"/>
        <w:rPr>
          <w:rFonts w:ascii="Arial" w:hAnsi="Arial" w:cs="Arial"/>
        </w:rPr>
      </w:pPr>
      <w:r w:rsidRPr="00C460F6">
        <w:rPr>
          <w:rFonts w:ascii="Arial" w:hAnsi="Arial" w:cs="Arial"/>
        </w:rPr>
        <w:t>Notes:</w:t>
      </w:r>
    </w:p>
    <w:p w:rsidR="00713909" w:rsidRPr="00C460F6" w:rsidRDefault="00713909" w:rsidP="00713909">
      <w:pPr>
        <w:spacing w:after="0" w:line="240" w:lineRule="auto"/>
        <w:rPr>
          <w:rFonts w:ascii="Arial" w:hAnsi="Arial" w:cs="Arial"/>
        </w:rPr>
      </w:pPr>
    </w:p>
    <w:p w:rsidR="00C943A2" w:rsidRPr="00C460F6" w:rsidRDefault="00C943A2" w:rsidP="001A0611">
      <w:pPr>
        <w:pStyle w:val="ListParagraph"/>
        <w:numPr>
          <w:ilvl w:val="0"/>
          <w:numId w:val="16"/>
        </w:numPr>
        <w:spacing w:after="120" w:line="240" w:lineRule="auto"/>
        <w:ind w:left="431" w:hanging="357"/>
        <w:contextualSpacing w:val="0"/>
        <w:jc w:val="both"/>
        <w:rPr>
          <w:rFonts w:ascii="Arial" w:hAnsi="Arial" w:cs="Arial"/>
        </w:rPr>
      </w:pPr>
      <w:r w:rsidRPr="00C460F6">
        <w:rPr>
          <w:rFonts w:ascii="Arial" w:hAnsi="Arial" w:cs="Arial"/>
        </w:rPr>
        <w:t>Vendors are required to issue Tax Invoice inclusive of PVC value (if applicable) wherever indices are available. In case PVC indices not available, vendors to submit PVC invoices on availability of applicable indices.</w:t>
      </w:r>
    </w:p>
    <w:p w:rsidR="00C943A2" w:rsidRPr="00C460F6" w:rsidRDefault="00C943A2" w:rsidP="00C943A2">
      <w:pPr>
        <w:pStyle w:val="ListParagraph"/>
        <w:numPr>
          <w:ilvl w:val="0"/>
          <w:numId w:val="16"/>
        </w:numPr>
        <w:spacing w:after="0" w:line="240" w:lineRule="auto"/>
        <w:rPr>
          <w:rFonts w:ascii="Arial" w:hAnsi="Arial" w:cs="Arial"/>
        </w:rPr>
      </w:pPr>
      <w:r w:rsidRPr="00C460F6">
        <w:rPr>
          <w:rFonts w:ascii="Arial" w:hAnsi="Arial" w:cs="Arial"/>
        </w:rPr>
        <w:t xml:space="preserve">Any negative PVC, if not adjusted in earlier payments, will be adjusted at the time of remaining payments.  </w:t>
      </w:r>
    </w:p>
    <w:p w:rsidR="00C943A2" w:rsidRPr="00C460F6" w:rsidRDefault="00C943A2" w:rsidP="00C943A2">
      <w:pPr>
        <w:pStyle w:val="ListParagraph"/>
        <w:spacing w:after="0" w:line="240" w:lineRule="auto"/>
        <w:ind w:left="436"/>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If bidder mentions Not Applicable / Not required / Not Quoted in BHEL price format, the same to be substantiated by the bidder. If such item is required to be supplied for system completion in future, sam</w:t>
      </w:r>
      <w:r w:rsidR="00D12F47">
        <w:rPr>
          <w:rFonts w:ascii="Arial" w:hAnsi="Arial" w:cs="Arial"/>
        </w:rPr>
        <w:t>e will be supplied free of cost with in delivery period.</w:t>
      </w:r>
    </w:p>
    <w:p w:rsidR="00C943A2" w:rsidRPr="00C460F6" w:rsidRDefault="00C943A2" w:rsidP="00C943A2">
      <w:pPr>
        <w:spacing w:after="0" w:line="240" w:lineRule="auto"/>
        <w:ind w:left="142" w:hanging="426"/>
        <w:rPr>
          <w:rFonts w:ascii="Arial" w:hAnsi="Arial" w:cs="Arial"/>
        </w:rPr>
      </w:pPr>
    </w:p>
    <w:p w:rsidR="00C943A2" w:rsidRPr="00C460F6" w:rsidRDefault="00C943A2" w:rsidP="00C943A2">
      <w:pPr>
        <w:pStyle w:val="ListParagraph"/>
        <w:numPr>
          <w:ilvl w:val="0"/>
          <w:numId w:val="13"/>
        </w:numPr>
        <w:spacing w:after="0" w:line="240" w:lineRule="auto"/>
        <w:ind w:left="142" w:hanging="426"/>
        <w:rPr>
          <w:rFonts w:ascii="Arial" w:hAnsi="Arial" w:cs="Arial"/>
        </w:rPr>
      </w:pPr>
      <w:r w:rsidRPr="00C460F6">
        <w:rPr>
          <w:rFonts w:ascii="Arial" w:hAnsi="Arial" w:cs="Arial"/>
        </w:rPr>
        <w:t>HSE Plan for site operations by contractor shall be applicable.</w:t>
      </w:r>
    </w:p>
    <w:p w:rsidR="00713909" w:rsidRPr="00C460F6" w:rsidRDefault="00713909" w:rsidP="00713909">
      <w:pPr>
        <w:spacing w:after="0" w:line="240" w:lineRule="auto"/>
        <w:rPr>
          <w:rFonts w:ascii="Arial" w:hAnsi="Arial" w:cs="Arial"/>
        </w:rPr>
      </w:pPr>
    </w:p>
    <w:p w:rsidR="00C943A2" w:rsidRPr="00C460F6" w:rsidRDefault="00C943A2" w:rsidP="002E7AB7">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Bidder to quote non zero freight charges in percentage (%) of their quoted Total Ex-Works prices of supply.</w:t>
      </w:r>
    </w:p>
    <w:p w:rsidR="00713909" w:rsidRPr="00C460F6" w:rsidRDefault="00713909" w:rsidP="00713909">
      <w:pPr>
        <w:spacing w:after="0" w:line="240" w:lineRule="auto"/>
        <w:rPr>
          <w:rFonts w:ascii="Arial" w:hAnsi="Arial" w:cs="Arial"/>
        </w:rPr>
      </w:pPr>
    </w:p>
    <w:p w:rsidR="00F2336E" w:rsidRPr="00F2336E" w:rsidRDefault="00F2336E" w:rsidP="00F2336E">
      <w:pPr>
        <w:pStyle w:val="ListParagraph"/>
        <w:numPr>
          <w:ilvl w:val="0"/>
          <w:numId w:val="13"/>
        </w:numPr>
        <w:spacing w:line="240" w:lineRule="auto"/>
        <w:ind w:left="142" w:hanging="426"/>
        <w:rPr>
          <w:rFonts w:ascii="Arial" w:hAnsi="Arial" w:cs="Arial"/>
          <w:lang w:val="en-IN"/>
        </w:rPr>
      </w:pPr>
      <w:r>
        <w:rPr>
          <w:rFonts w:ascii="Arial" w:hAnsi="Arial" w:cs="Arial"/>
        </w:rPr>
        <w:t xml:space="preserve">CIF is </w:t>
      </w:r>
      <w:r>
        <w:rPr>
          <w:rFonts w:ascii="Arial" w:hAnsi="Arial" w:cs="Arial"/>
          <w:lang w:val="en-IN"/>
        </w:rPr>
        <w:t>Not available</w:t>
      </w:r>
      <w:r w:rsidRPr="00F2336E">
        <w:rPr>
          <w:rFonts w:ascii="Arial" w:hAnsi="Arial" w:cs="Arial"/>
        </w:rPr>
        <w:t>.</w:t>
      </w:r>
    </w:p>
    <w:p w:rsidR="00F2336E" w:rsidRPr="00F2336E" w:rsidRDefault="00F2336E" w:rsidP="00F2336E">
      <w:pPr>
        <w:pStyle w:val="ListParagraph"/>
        <w:rPr>
          <w:rFonts w:ascii="Arial" w:hAnsi="Arial" w:cs="Arial"/>
        </w:rPr>
      </w:pPr>
    </w:p>
    <w:p w:rsidR="00C943A2" w:rsidRPr="00C460F6" w:rsidRDefault="00C943A2" w:rsidP="002E7AB7">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Construction power and Construction water shall be as per s.no -13 of SCC of the project.</w:t>
      </w:r>
    </w:p>
    <w:p w:rsidR="00C943A2" w:rsidRPr="00C460F6" w:rsidRDefault="00C943A2" w:rsidP="00C943A2">
      <w:pPr>
        <w:spacing w:after="0" w:line="240" w:lineRule="auto"/>
        <w:ind w:left="142" w:hanging="426"/>
        <w:rPr>
          <w:rFonts w:ascii="Arial" w:hAnsi="Arial" w:cs="Arial"/>
        </w:rPr>
      </w:pPr>
    </w:p>
    <w:p w:rsidR="00C943A2" w:rsidRPr="00C460F6" w:rsidRDefault="00C943A2" w:rsidP="009A4066">
      <w:pPr>
        <w:pStyle w:val="ListParagraph"/>
        <w:numPr>
          <w:ilvl w:val="0"/>
          <w:numId w:val="13"/>
        </w:numPr>
        <w:spacing w:after="0" w:line="240" w:lineRule="auto"/>
        <w:ind w:left="142" w:hanging="426"/>
        <w:rPr>
          <w:rFonts w:ascii="Arial" w:hAnsi="Arial" w:cs="Arial"/>
        </w:rPr>
      </w:pPr>
      <w:r w:rsidRPr="00C460F6">
        <w:rPr>
          <w:rFonts w:ascii="Arial" w:hAnsi="Arial" w:cs="Arial"/>
        </w:rPr>
        <w:t>Insurance Deductibles and Excess: Following tentative insurance deductibles / excess shall be applicable.</w:t>
      </w:r>
    </w:p>
    <w:p w:rsidR="00C943A2" w:rsidRPr="00C460F6" w:rsidRDefault="00C943A2" w:rsidP="00C943A2">
      <w:pPr>
        <w:pStyle w:val="ListParagraph"/>
        <w:spacing w:after="0" w:line="240" w:lineRule="auto"/>
        <w:ind w:left="142"/>
        <w:rPr>
          <w:rFonts w:ascii="Arial" w:hAnsi="Arial" w:cs="Arial"/>
        </w:rPr>
      </w:pPr>
    </w:p>
    <w:p w:rsidR="00C943A2" w:rsidRPr="00C460F6" w:rsidRDefault="00C943A2" w:rsidP="00C943A2">
      <w:pPr>
        <w:pStyle w:val="ListParagraph"/>
        <w:spacing w:after="0" w:line="240" w:lineRule="auto"/>
        <w:ind w:left="142"/>
        <w:rPr>
          <w:rFonts w:ascii="Arial" w:hAnsi="Arial" w:cs="Arial"/>
        </w:rPr>
      </w:pPr>
      <w:r w:rsidRPr="00C460F6">
        <w:rPr>
          <w:rFonts w:ascii="Arial" w:hAnsi="Arial" w:cs="Arial"/>
        </w:rPr>
        <w:t>For Marine Cover: Rs 20,000/-</w:t>
      </w:r>
    </w:p>
    <w:p w:rsidR="00F2336E" w:rsidRDefault="00F2336E" w:rsidP="00C943A2">
      <w:pPr>
        <w:pStyle w:val="ListParagraph"/>
        <w:spacing w:after="0" w:line="240" w:lineRule="auto"/>
        <w:ind w:left="142"/>
        <w:rPr>
          <w:rFonts w:ascii="Arial" w:hAnsi="Arial" w:cs="Arial"/>
        </w:rPr>
      </w:pPr>
    </w:p>
    <w:p w:rsidR="00C943A2" w:rsidRPr="00C460F6" w:rsidRDefault="00C943A2" w:rsidP="00C943A2">
      <w:pPr>
        <w:pStyle w:val="ListParagraph"/>
        <w:spacing w:after="0" w:line="240" w:lineRule="auto"/>
        <w:ind w:left="142"/>
        <w:rPr>
          <w:rFonts w:ascii="Arial" w:hAnsi="Arial" w:cs="Arial"/>
        </w:rPr>
      </w:pPr>
      <w:bookmarkStart w:id="0" w:name="_GoBack"/>
      <w:bookmarkEnd w:id="0"/>
      <w:r w:rsidRPr="00C460F6">
        <w:rPr>
          <w:rFonts w:ascii="Arial" w:hAnsi="Arial" w:cs="Arial"/>
        </w:rPr>
        <w:lastRenderedPageBreak/>
        <w:t>For Storage /Erection and Testing Cover:</w:t>
      </w:r>
    </w:p>
    <w:p w:rsidR="00C943A2" w:rsidRPr="00C460F6" w:rsidRDefault="00C943A2" w:rsidP="00C943A2">
      <w:pPr>
        <w:pStyle w:val="ListParagraph"/>
        <w:numPr>
          <w:ilvl w:val="2"/>
          <w:numId w:val="13"/>
        </w:numPr>
        <w:spacing w:after="0" w:line="240" w:lineRule="auto"/>
        <w:ind w:left="993"/>
        <w:rPr>
          <w:rFonts w:ascii="Arial" w:hAnsi="Arial" w:cs="Arial"/>
        </w:rPr>
      </w:pPr>
      <w:r w:rsidRPr="00C460F6">
        <w:rPr>
          <w:rFonts w:ascii="Arial" w:hAnsi="Arial" w:cs="Arial"/>
        </w:rPr>
        <w:t>Normal Excess: 5 % of the claim amount subject to a minimum of Rs. 2.25 Lakh.</w:t>
      </w:r>
    </w:p>
    <w:p w:rsidR="00C943A2" w:rsidRPr="00C460F6" w:rsidRDefault="00C943A2" w:rsidP="00C943A2">
      <w:pPr>
        <w:pStyle w:val="ListParagraph"/>
        <w:numPr>
          <w:ilvl w:val="2"/>
          <w:numId w:val="13"/>
        </w:numPr>
        <w:spacing w:after="0" w:line="240" w:lineRule="auto"/>
        <w:ind w:left="993"/>
        <w:rPr>
          <w:rFonts w:ascii="Arial" w:hAnsi="Arial" w:cs="Arial"/>
        </w:rPr>
      </w:pPr>
      <w:r w:rsidRPr="00C460F6">
        <w:rPr>
          <w:rFonts w:ascii="Arial" w:hAnsi="Arial" w:cs="Arial"/>
        </w:rPr>
        <w:t>Testing Excess: 5% of the claim amount subject to minimum of Rs. 6.0 Lakh.</w:t>
      </w:r>
    </w:p>
    <w:p w:rsidR="00C943A2" w:rsidRPr="00C460F6" w:rsidRDefault="00C943A2" w:rsidP="00C943A2">
      <w:pPr>
        <w:spacing w:after="0" w:line="240" w:lineRule="auto"/>
        <w:ind w:left="142" w:hanging="426"/>
        <w:rPr>
          <w:rFonts w:ascii="Arial" w:hAnsi="Arial" w:cs="Arial"/>
        </w:rPr>
      </w:pPr>
    </w:p>
    <w:p w:rsidR="00C943A2" w:rsidRPr="00C460F6" w:rsidRDefault="00C943A2" w:rsidP="00C943A2">
      <w:pPr>
        <w:spacing w:after="0" w:line="240" w:lineRule="auto"/>
        <w:ind w:left="142"/>
        <w:rPr>
          <w:rFonts w:ascii="Arial" w:hAnsi="Arial" w:cs="Arial"/>
        </w:rPr>
      </w:pPr>
      <w:r w:rsidRPr="00C460F6">
        <w:rPr>
          <w:rFonts w:ascii="Arial" w:hAnsi="Arial" w:cs="Arial"/>
        </w:rPr>
        <w:t>Act of God Perils: - 10% of the claim amount subject to minimum of testing period excess.</w:t>
      </w:r>
    </w:p>
    <w:p w:rsidR="00C943A2" w:rsidRPr="00C460F6" w:rsidRDefault="00C943A2" w:rsidP="00C943A2">
      <w:pPr>
        <w:spacing w:after="0" w:line="240" w:lineRule="auto"/>
        <w:ind w:left="142"/>
        <w:rPr>
          <w:rFonts w:ascii="Arial" w:hAnsi="Arial" w:cs="Arial"/>
        </w:rPr>
      </w:pPr>
      <w:r w:rsidRPr="00C460F6">
        <w:rPr>
          <w:rFonts w:ascii="Arial" w:hAnsi="Arial" w:cs="Arial"/>
        </w:rPr>
        <w:t>Fire / Explosion Claims: 20% of the claim amount subject to minimum of testing period excess</w:t>
      </w:r>
    </w:p>
    <w:p w:rsidR="00C943A2" w:rsidRPr="00C460F6" w:rsidRDefault="00C943A2" w:rsidP="00C943A2">
      <w:pPr>
        <w:spacing w:after="0" w:line="240" w:lineRule="auto"/>
        <w:ind w:left="142"/>
        <w:rPr>
          <w:rFonts w:ascii="Arial" w:hAnsi="Arial" w:cs="Arial"/>
        </w:rPr>
      </w:pPr>
      <w:r w:rsidRPr="00C460F6">
        <w:rPr>
          <w:rFonts w:ascii="Arial" w:hAnsi="Arial" w:cs="Arial"/>
        </w:rPr>
        <w:t>Extended Maintenance Cover/ Defect Liability Cover: As applicable for testing period excess.</w:t>
      </w:r>
    </w:p>
    <w:p w:rsidR="00C943A2" w:rsidRPr="00C460F6" w:rsidRDefault="00C943A2" w:rsidP="00C943A2">
      <w:pPr>
        <w:spacing w:after="0" w:line="240" w:lineRule="auto"/>
        <w:ind w:left="142" w:hanging="426"/>
        <w:rPr>
          <w:rFonts w:ascii="Arial" w:hAnsi="Arial" w:cs="Arial"/>
        </w:rPr>
      </w:pPr>
    </w:p>
    <w:p w:rsidR="00C943A2" w:rsidRPr="00C460F6" w:rsidRDefault="00C943A2" w:rsidP="00232CDA">
      <w:pPr>
        <w:pStyle w:val="ListParagraph"/>
        <w:spacing w:after="0" w:line="240" w:lineRule="auto"/>
        <w:ind w:left="142"/>
        <w:jc w:val="both"/>
        <w:rPr>
          <w:rFonts w:ascii="Arial" w:hAnsi="Arial" w:cs="Arial"/>
        </w:rPr>
      </w:pPr>
      <w:r w:rsidRPr="00C460F6">
        <w:rPr>
          <w:rFonts w:ascii="Arial" w:hAnsi="Arial" w:cs="Arial"/>
        </w:rPr>
        <w:t>Third Party Liability: The policy excesses (normal/testing periods) shall apply for third party liability property damage claims also. For third party liability claims arising out of acts of GOD perils. The excess applicable to AOG claims shall apply.</w:t>
      </w:r>
    </w:p>
    <w:p w:rsidR="00C943A2" w:rsidRPr="00C460F6" w:rsidRDefault="00C943A2" w:rsidP="00C943A2">
      <w:pPr>
        <w:spacing w:after="0" w:line="240" w:lineRule="auto"/>
        <w:ind w:left="142" w:hanging="426"/>
        <w:rPr>
          <w:rFonts w:ascii="Arial" w:hAnsi="Arial" w:cs="Arial"/>
        </w:rPr>
      </w:pPr>
    </w:p>
    <w:p w:rsidR="00C943A2" w:rsidRPr="00C460F6" w:rsidRDefault="00C943A2" w:rsidP="00232CDA">
      <w:pPr>
        <w:pStyle w:val="ListParagraph"/>
        <w:spacing w:after="0" w:line="240" w:lineRule="auto"/>
        <w:ind w:left="142"/>
        <w:jc w:val="both"/>
        <w:rPr>
          <w:rFonts w:ascii="Arial" w:hAnsi="Arial" w:cs="Arial"/>
        </w:rPr>
      </w:pPr>
      <w:r w:rsidRPr="00C460F6">
        <w:rPr>
          <w:rFonts w:ascii="Arial" w:hAnsi="Arial" w:cs="Arial"/>
        </w:rPr>
        <w:t xml:space="preserve">“The above mentioned insurance deductibles/excess are tentative in nature and may change after award of contract which will be applicable within quoted price". </w:t>
      </w:r>
    </w:p>
    <w:p w:rsidR="00C943A2" w:rsidRPr="00C460F6" w:rsidRDefault="00C943A2" w:rsidP="00C943A2">
      <w:pPr>
        <w:spacing w:after="0" w:line="240" w:lineRule="auto"/>
        <w:ind w:left="142" w:hanging="426"/>
        <w:rPr>
          <w:rFonts w:ascii="Arial" w:hAnsi="Arial" w:cs="Arial"/>
        </w:rPr>
      </w:pPr>
    </w:p>
    <w:p w:rsidR="00C943A2"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 xml:space="preserve">BG should be in favor of BHEL-PSSR in place of PEM. L1 Vendor will be required to submit BG of 5% </w:t>
      </w:r>
      <w:r w:rsidR="00D12F47">
        <w:rPr>
          <w:rFonts w:ascii="Arial" w:hAnsi="Arial" w:cs="Arial"/>
        </w:rPr>
        <w:t>of the contract value</w:t>
      </w:r>
      <w:r w:rsidRPr="00C460F6">
        <w:rPr>
          <w:rFonts w:ascii="Arial" w:hAnsi="Arial" w:cs="Arial"/>
        </w:rPr>
        <w:t xml:space="preserve">.  </w:t>
      </w:r>
    </w:p>
    <w:p w:rsidR="00F2336E" w:rsidRDefault="00F2336E" w:rsidP="00F2336E">
      <w:pPr>
        <w:pStyle w:val="ListParagraph"/>
        <w:spacing w:after="0" w:line="240" w:lineRule="auto"/>
        <w:ind w:left="142"/>
        <w:jc w:val="both"/>
        <w:rPr>
          <w:rFonts w:ascii="Arial" w:hAnsi="Arial" w:cs="Arial"/>
        </w:rPr>
      </w:pPr>
    </w:p>
    <w:tbl>
      <w:tblPr>
        <w:tblW w:w="9072" w:type="dxa"/>
        <w:tblInd w:w="274" w:type="dxa"/>
        <w:tblCellMar>
          <w:top w:w="15" w:type="dxa"/>
          <w:left w:w="15" w:type="dxa"/>
          <w:bottom w:w="15" w:type="dxa"/>
          <w:right w:w="15" w:type="dxa"/>
        </w:tblCellMar>
        <w:tblLook w:val="04A0" w:firstRow="1" w:lastRow="0" w:firstColumn="1" w:lastColumn="0" w:noHBand="0" w:noVBand="1"/>
      </w:tblPr>
      <w:tblGrid>
        <w:gridCol w:w="1721"/>
        <w:gridCol w:w="7351"/>
      </w:tblGrid>
      <w:tr w:rsidR="00F2336E" w:rsidRPr="00F2336E" w:rsidTr="00F2336E">
        <w:trPr>
          <w:trHeight w:val="1093"/>
        </w:trPr>
        <w:tc>
          <w:tcPr>
            <w:tcW w:w="1721" w:type="dxa"/>
            <w:tcBorders>
              <w:top w:val="single" w:sz="8" w:space="0" w:color="auto"/>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F2336E" w:rsidRPr="00F2336E" w:rsidRDefault="00F2336E" w:rsidP="00123583">
            <w:pPr>
              <w:spacing w:after="0" w:line="253" w:lineRule="atLeast"/>
              <w:rPr>
                <w:rFonts w:ascii="Arial" w:eastAsia="Times New Roman" w:hAnsi="Arial" w:cs="Arial"/>
                <w:lang w:eastAsia="en-IN" w:bidi="hi-IN"/>
              </w:rPr>
            </w:pPr>
            <w:r w:rsidRPr="00F2336E">
              <w:rPr>
                <w:rFonts w:ascii="Arial" w:eastAsia="Times New Roman" w:hAnsi="Arial" w:cs="Arial"/>
                <w:color w:val="000000"/>
                <w:lang w:eastAsia="en-IN" w:bidi="hi-IN"/>
              </w:rPr>
              <w:t>Initial ePBG validity</w:t>
            </w:r>
          </w:p>
        </w:tc>
        <w:tc>
          <w:tcPr>
            <w:tcW w:w="7351" w:type="dxa"/>
            <w:tcBorders>
              <w:top w:val="single" w:sz="8" w:space="0" w:color="auto"/>
              <w:left w:val="nil"/>
              <w:bottom w:val="single" w:sz="8" w:space="0" w:color="auto"/>
              <w:right w:val="single" w:sz="8" w:space="0" w:color="auto"/>
            </w:tcBorders>
            <w:shd w:val="clear" w:color="auto" w:fill="auto"/>
            <w:tcMar>
              <w:top w:w="0" w:type="dxa"/>
              <w:left w:w="15" w:type="dxa"/>
              <w:bottom w:w="0" w:type="dxa"/>
              <w:right w:w="15" w:type="dxa"/>
            </w:tcMar>
            <w:hideMark/>
          </w:tcPr>
          <w:p w:rsidR="00F2336E" w:rsidRPr="00F2336E" w:rsidRDefault="00F2336E" w:rsidP="00123583">
            <w:pPr>
              <w:spacing w:after="0" w:line="253" w:lineRule="atLeast"/>
              <w:jc w:val="both"/>
              <w:rPr>
                <w:rFonts w:ascii="Arial" w:eastAsia="Times New Roman" w:hAnsi="Arial" w:cs="Arial"/>
                <w:lang w:eastAsia="en-IN" w:bidi="hi-IN"/>
              </w:rPr>
            </w:pPr>
            <w:r w:rsidRPr="00F2336E">
              <w:rPr>
                <w:rFonts w:ascii="Arial" w:eastAsia="Times New Roman" w:hAnsi="Arial" w:cs="Arial"/>
                <w:color w:val="000000"/>
                <w:lang w:eastAsia="en-IN" w:bidi="hi-IN"/>
              </w:rPr>
              <w:t>32 months: - Initial e-PBG validity shall be 32 months from LOA date (Considering delivery period of 12 months + 18 months guarantee period + 2 months claim period is already mentioned in GTC cl no. 7.ii GeM 4.0 Version 1.5). However, BG will be released only after completion of all contractual liability or guarantee period whichever is later.</w:t>
            </w:r>
          </w:p>
        </w:tc>
      </w:tr>
    </w:tbl>
    <w:p w:rsidR="00F2336E" w:rsidRPr="00C460F6" w:rsidRDefault="00F2336E" w:rsidP="00F2336E">
      <w:pPr>
        <w:pStyle w:val="ListParagraph"/>
        <w:spacing w:after="0" w:line="240" w:lineRule="auto"/>
        <w:ind w:left="142"/>
        <w:jc w:val="both"/>
        <w:rPr>
          <w:rFonts w:ascii="Arial" w:hAnsi="Arial" w:cs="Arial"/>
        </w:rPr>
      </w:pPr>
    </w:p>
    <w:p w:rsidR="00C943A2" w:rsidRPr="00C460F6" w:rsidRDefault="00C943A2" w:rsidP="00C943A2">
      <w:pPr>
        <w:pStyle w:val="ListParagraph"/>
        <w:spacing w:after="0" w:line="240" w:lineRule="auto"/>
        <w:ind w:left="142"/>
        <w:jc w:val="both"/>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 xml:space="preserve">Quantity variation shall be +/-30% in line with GCC-BOP. Bidder to refer clause no. 6.0 of General Commercial Terms &amp; Conditions of GCC BOP (available on </w:t>
      </w:r>
      <w:hyperlink r:id="rId9" w:history="1">
        <w:r w:rsidR="001A0611" w:rsidRPr="00B46CC1">
          <w:rPr>
            <w:rStyle w:val="Hyperlink"/>
            <w:rFonts w:ascii="Arial" w:hAnsi="Arial" w:cs="Arial"/>
          </w:rPr>
          <w:t>www.pem.bhel.com</w:t>
        </w:r>
      </w:hyperlink>
      <w:r w:rsidR="001A0611">
        <w:rPr>
          <w:rFonts w:ascii="Arial" w:hAnsi="Arial" w:cs="Arial"/>
        </w:rPr>
        <w:t>)</w:t>
      </w:r>
      <w:r w:rsidRPr="00C460F6">
        <w:rPr>
          <w:rFonts w:ascii="Arial" w:hAnsi="Arial" w:cs="Arial"/>
        </w:rPr>
        <w:t>.</w:t>
      </w:r>
    </w:p>
    <w:p w:rsidR="00C943A2" w:rsidRPr="00C460F6" w:rsidRDefault="00C943A2" w:rsidP="00C943A2">
      <w:pPr>
        <w:pStyle w:val="ListParagraph"/>
        <w:spacing w:after="0" w:line="240" w:lineRule="auto"/>
        <w:ind w:left="142"/>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 xml:space="preserve">Bidder to agree with clause no. 1.6 &amp; 22 (Instruction to bidders), clause no. 10.0, 12.0, 13.0, 14.0 to 30.0, 34.2, 36.0 to 46.0 of GCC BOP (available on www.pem.bhel.com) &amp; SCC of the project. </w:t>
      </w:r>
    </w:p>
    <w:p w:rsidR="00C943A2" w:rsidRPr="00C460F6" w:rsidRDefault="00C943A2" w:rsidP="00C943A2">
      <w:pPr>
        <w:spacing w:after="0" w:line="240" w:lineRule="auto"/>
        <w:jc w:val="both"/>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 xml:space="preserve">Bidders to ensure that Third party/customer issued certificates being submitted as proof of PQR qualification should have verifiable details of document/certificate issuing authority such as name &amp; designation of Issuing Authority and its organization contact number and e </w:t>
      </w:r>
      <w:r w:rsidRPr="00C460F6">
        <w:rPr>
          <w:rFonts w:ascii="Cambria Math" w:hAnsi="Cambria Math" w:cs="Cambria Math"/>
        </w:rPr>
        <w:t>‐</w:t>
      </w:r>
      <w:r w:rsidRPr="00C460F6">
        <w:rPr>
          <w:rFonts w:ascii="Arial" w:hAnsi="Arial" w:cs="Arial"/>
        </w:rPr>
        <w:t xml:space="preserve"> mail Id etc. In case the same found not available, Purchaser has right to reject such document from evaluation.</w:t>
      </w:r>
    </w:p>
    <w:p w:rsidR="00C943A2" w:rsidRPr="00C460F6" w:rsidRDefault="00C943A2" w:rsidP="00C943A2">
      <w:pPr>
        <w:spacing w:after="0" w:line="240" w:lineRule="auto"/>
        <w:jc w:val="both"/>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Bidders to comply Govt. of India, Ministry of Power, order no-25-111612018-PG dated 02/07/2020   regarding mandatory testing of all the imported items/equipment’s/components.</w:t>
      </w:r>
    </w:p>
    <w:p w:rsidR="00C943A2" w:rsidRPr="00C460F6" w:rsidRDefault="00C943A2" w:rsidP="00C943A2">
      <w:pPr>
        <w:spacing w:after="0" w:line="240" w:lineRule="auto"/>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This item/Package falls under the list of items defined in Para 3 of Ministry guideline ref no.F.20/2/214-PPD(Pt.) dated.20-09-2016 (in respect of procurement of items related to public safety, health, critical security operations and equipment’s, etc) &amp; hence no relaxation of PQR for start-up/MSME vendors is envisaged for the items/Package”</w:t>
      </w:r>
    </w:p>
    <w:p w:rsidR="00C943A2" w:rsidRPr="00C460F6" w:rsidRDefault="00C943A2" w:rsidP="00C943A2">
      <w:pPr>
        <w:spacing w:after="0" w:line="240" w:lineRule="auto"/>
        <w:jc w:val="both"/>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Bidders may visit site/ work area and study the job content, facilities available, availability of materials, prevailing site conditions including law &amp; order situation etc. before quoting for this tender. They may also consult this office before submitting their offers, for any clarifications regarding scope of work, facilities available at sites or on terms and conditions. No additional claim shall be entertained by BHEL in future, on account of non-acquaintance of above.</w:t>
      </w:r>
    </w:p>
    <w:p w:rsidR="00C943A2" w:rsidRPr="00C460F6" w:rsidRDefault="00C943A2" w:rsidP="00C943A2">
      <w:pPr>
        <w:spacing w:after="0" w:line="240" w:lineRule="auto"/>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lastRenderedPageBreak/>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p w:rsidR="00C943A2" w:rsidRPr="00C460F6" w:rsidRDefault="00C943A2" w:rsidP="00C943A2">
      <w:pPr>
        <w:spacing w:after="0" w:line="240" w:lineRule="auto"/>
        <w:ind w:left="142" w:hanging="426"/>
        <w:rPr>
          <w:rFonts w:ascii="Arial" w:hAnsi="Arial" w:cs="Arial"/>
        </w:rPr>
      </w:pP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 xml:space="preserve">A bidder shall not have conflict of interest with other bidders. Such conflict of interest can lead to anti-competitive practices to the detriment of Procuring Entity's interests. The bidder found to have a conflict of interest shall be disqualified. A bidder may be considered to have a conflict of interest with one or more parties in this bidding process, if: </w:t>
      </w:r>
    </w:p>
    <w:p w:rsidR="00C943A2" w:rsidRPr="00C460F6" w:rsidRDefault="00C943A2" w:rsidP="00C943A2">
      <w:pPr>
        <w:spacing w:after="0" w:line="240" w:lineRule="auto"/>
        <w:jc w:val="both"/>
        <w:rPr>
          <w:rFonts w:ascii="Arial" w:hAnsi="Arial" w:cs="Arial"/>
        </w:rPr>
      </w:pPr>
    </w:p>
    <w:p w:rsidR="00C943A2" w:rsidRPr="00C460F6" w:rsidRDefault="00C943A2" w:rsidP="00C943A2">
      <w:pPr>
        <w:pStyle w:val="ListParagraph"/>
        <w:numPr>
          <w:ilvl w:val="2"/>
          <w:numId w:val="13"/>
        </w:numPr>
        <w:spacing w:after="0" w:line="240" w:lineRule="auto"/>
        <w:ind w:left="568" w:hanging="426"/>
        <w:jc w:val="both"/>
        <w:rPr>
          <w:rFonts w:ascii="Arial" w:hAnsi="Arial" w:cs="Arial"/>
        </w:rPr>
      </w:pPr>
      <w:r w:rsidRPr="00C460F6">
        <w:rPr>
          <w:rFonts w:ascii="Arial" w:hAnsi="Arial" w:cs="Arial"/>
        </w:rPr>
        <w:t xml:space="preserve">they have controlling partner (s) in common;' or </w:t>
      </w:r>
    </w:p>
    <w:p w:rsidR="00C943A2" w:rsidRPr="00C460F6" w:rsidRDefault="00C943A2" w:rsidP="00C943A2">
      <w:pPr>
        <w:pStyle w:val="ListParagraph"/>
        <w:numPr>
          <w:ilvl w:val="2"/>
          <w:numId w:val="13"/>
        </w:numPr>
        <w:spacing w:after="0" w:line="240" w:lineRule="auto"/>
        <w:ind w:left="568" w:hanging="426"/>
        <w:jc w:val="both"/>
        <w:rPr>
          <w:rFonts w:ascii="Arial" w:hAnsi="Arial" w:cs="Arial"/>
        </w:rPr>
      </w:pPr>
      <w:r w:rsidRPr="00C460F6">
        <w:rPr>
          <w:rFonts w:ascii="Arial" w:hAnsi="Arial" w:cs="Arial"/>
        </w:rPr>
        <w:t xml:space="preserve">they receive or have received any direct or indirect subsidy/ financial stake from any of them; or </w:t>
      </w:r>
    </w:p>
    <w:p w:rsidR="00C943A2" w:rsidRPr="00C460F6" w:rsidRDefault="00C943A2" w:rsidP="00C943A2">
      <w:pPr>
        <w:pStyle w:val="ListParagraph"/>
        <w:numPr>
          <w:ilvl w:val="2"/>
          <w:numId w:val="13"/>
        </w:numPr>
        <w:spacing w:after="0" w:line="240" w:lineRule="auto"/>
        <w:ind w:left="568" w:hanging="426"/>
        <w:jc w:val="both"/>
        <w:rPr>
          <w:rFonts w:ascii="Arial" w:hAnsi="Arial" w:cs="Arial"/>
        </w:rPr>
      </w:pPr>
      <w:r w:rsidRPr="00C460F6">
        <w:rPr>
          <w:rFonts w:ascii="Arial" w:hAnsi="Arial" w:cs="Arial"/>
        </w:rPr>
        <w:t xml:space="preserve">they have the same legal representative/agent for purposes of this bid; or </w:t>
      </w:r>
    </w:p>
    <w:p w:rsidR="00C943A2" w:rsidRPr="00C460F6" w:rsidRDefault="00C943A2" w:rsidP="00C943A2">
      <w:pPr>
        <w:pStyle w:val="ListParagraph"/>
        <w:numPr>
          <w:ilvl w:val="2"/>
          <w:numId w:val="13"/>
        </w:numPr>
        <w:spacing w:after="0" w:line="240" w:lineRule="auto"/>
        <w:ind w:left="568" w:hanging="426"/>
        <w:jc w:val="both"/>
        <w:rPr>
          <w:rFonts w:ascii="Arial" w:hAnsi="Arial" w:cs="Arial"/>
        </w:rPr>
      </w:pPr>
      <w:r w:rsidRPr="00C460F6">
        <w:rPr>
          <w:rFonts w:ascii="Arial" w:hAnsi="Arial" w:cs="Arial"/>
        </w:rPr>
        <w:t xml:space="preserve">they have relationship with each other, directly or through common third parties, that puts them in a position to have access to information about or influence on the bid of another Bidder; or </w:t>
      </w:r>
    </w:p>
    <w:p w:rsidR="00C943A2" w:rsidRPr="00C460F6" w:rsidRDefault="00C943A2" w:rsidP="00C943A2">
      <w:pPr>
        <w:pStyle w:val="ListParagraph"/>
        <w:numPr>
          <w:ilvl w:val="2"/>
          <w:numId w:val="13"/>
        </w:numPr>
        <w:spacing w:after="0" w:line="240" w:lineRule="auto"/>
        <w:ind w:left="568" w:hanging="426"/>
        <w:jc w:val="both"/>
        <w:rPr>
          <w:rFonts w:ascii="Arial" w:hAnsi="Arial" w:cs="Arial"/>
        </w:rPr>
      </w:pPr>
      <w:r w:rsidRPr="00C460F6">
        <w:rPr>
          <w:rFonts w:ascii="Arial" w:hAnsi="Arial" w:cs="Arial"/>
        </w:rPr>
        <w:t>Bidder participates in more than one bid in this bidding process. 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C943A2" w:rsidRPr="00C460F6" w:rsidRDefault="00C943A2" w:rsidP="00C943A2">
      <w:pPr>
        <w:pStyle w:val="ListParagraph"/>
        <w:numPr>
          <w:ilvl w:val="2"/>
          <w:numId w:val="13"/>
        </w:numPr>
        <w:spacing w:after="0" w:line="240" w:lineRule="auto"/>
        <w:ind w:left="568" w:hanging="426"/>
        <w:jc w:val="both"/>
        <w:rPr>
          <w:rFonts w:ascii="Arial" w:hAnsi="Arial" w:cs="Arial"/>
        </w:rPr>
      </w:pPr>
      <w:r w:rsidRPr="00C460F6">
        <w:rPr>
          <w:rFonts w:ascii="Arial" w:hAnsi="Arial" w:cs="Arial"/>
        </w:rPr>
        <w:t xml:space="preserve">In cases of agents quoting in offshore procurements, on behalf of their principal manufacturers, one agent cannot represent two manufacturers or quote on their behalf in a particular tender enquiry. One manufacturer can also authorize only one agent/dealer. There can be only one bid from the following: </w:t>
      </w:r>
    </w:p>
    <w:p w:rsidR="00C943A2" w:rsidRPr="00C460F6" w:rsidRDefault="00C943A2" w:rsidP="00C943A2">
      <w:pPr>
        <w:pStyle w:val="ListParagraph"/>
        <w:numPr>
          <w:ilvl w:val="0"/>
          <w:numId w:val="14"/>
        </w:numPr>
        <w:spacing w:after="0" w:line="240" w:lineRule="auto"/>
        <w:ind w:left="568" w:hanging="426"/>
        <w:jc w:val="both"/>
        <w:rPr>
          <w:rFonts w:ascii="Arial" w:hAnsi="Arial" w:cs="Arial"/>
        </w:rPr>
      </w:pPr>
      <w:r w:rsidRPr="00C460F6">
        <w:rPr>
          <w:rFonts w:ascii="Arial" w:hAnsi="Arial" w:cs="Arial"/>
        </w:rPr>
        <w:t xml:space="preserve">The principal manufacturer directly or through one Indian agent on his behalf; and </w:t>
      </w:r>
    </w:p>
    <w:p w:rsidR="00C943A2" w:rsidRPr="00C460F6" w:rsidRDefault="00C943A2" w:rsidP="00C943A2">
      <w:pPr>
        <w:pStyle w:val="ListParagraph"/>
        <w:numPr>
          <w:ilvl w:val="0"/>
          <w:numId w:val="14"/>
        </w:numPr>
        <w:spacing w:after="0" w:line="240" w:lineRule="auto"/>
        <w:ind w:left="568" w:hanging="426"/>
        <w:jc w:val="both"/>
        <w:rPr>
          <w:rFonts w:ascii="Arial" w:hAnsi="Arial" w:cs="Arial"/>
        </w:rPr>
      </w:pPr>
      <w:r w:rsidRPr="00C460F6">
        <w:rPr>
          <w:rFonts w:ascii="Arial" w:hAnsi="Arial" w:cs="Arial"/>
        </w:rPr>
        <w:t xml:space="preserve">Indian/foreign agent on behalf of only one principal,' </w:t>
      </w:r>
    </w:p>
    <w:p w:rsidR="00C943A2" w:rsidRPr="00C460F6" w:rsidRDefault="00C943A2" w:rsidP="002E7AB7">
      <w:pPr>
        <w:pStyle w:val="ListParagraph"/>
        <w:numPr>
          <w:ilvl w:val="8"/>
          <w:numId w:val="13"/>
        </w:numPr>
        <w:spacing w:after="0" w:line="240" w:lineRule="auto"/>
        <w:ind w:left="568" w:hanging="284"/>
        <w:jc w:val="both"/>
        <w:rPr>
          <w:rFonts w:ascii="Arial" w:hAnsi="Arial" w:cs="Arial"/>
        </w:rPr>
      </w:pPr>
      <w:r w:rsidRPr="00C460F6">
        <w:rPr>
          <w:rFonts w:ascii="Arial" w:hAnsi="Arial" w:cs="Arial"/>
        </w:rPr>
        <w:t xml:space="preserve">or </w:t>
      </w:r>
    </w:p>
    <w:p w:rsidR="00C943A2" w:rsidRPr="00C460F6" w:rsidRDefault="00C943A2" w:rsidP="00C943A2">
      <w:pPr>
        <w:pStyle w:val="ListParagraph"/>
        <w:numPr>
          <w:ilvl w:val="2"/>
          <w:numId w:val="13"/>
        </w:numPr>
        <w:spacing w:after="0" w:line="240" w:lineRule="auto"/>
        <w:ind w:left="568" w:hanging="426"/>
        <w:jc w:val="both"/>
        <w:rPr>
          <w:rFonts w:ascii="Arial" w:hAnsi="Arial" w:cs="Arial"/>
        </w:rPr>
      </w:pPr>
      <w:r w:rsidRPr="00C460F6">
        <w:rPr>
          <w:rFonts w:ascii="Arial" w:hAnsi="Arial" w:cs="Arial"/>
        </w:rPr>
        <w:t xml:space="preserve">A Bidder or any of its affiliates participated as a consultant in the preparation of the design or technical specifications of the contract that is the subject of the Bid, or </w:t>
      </w:r>
    </w:p>
    <w:p w:rsidR="00C943A2" w:rsidRPr="00C460F6" w:rsidRDefault="00C943A2" w:rsidP="00C943A2">
      <w:pPr>
        <w:pStyle w:val="ListParagraph"/>
        <w:numPr>
          <w:ilvl w:val="2"/>
          <w:numId w:val="13"/>
        </w:numPr>
        <w:spacing w:after="0" w:line="240" w:lineRule="auto"/>
        <w:ind w:left="568" w:hanging="426"/>
        <w:jc w:val="both"/>
        <w:rPr>
          <w:rFonts w:ascii="Arial" w:hAnsi="Arial" w:cs="Arial"/>
        </w:rPr>
      </w:pPr>
      <w:r w:rsidRPr="00C460F6">
        <w:rPr>
          <w:rFonts w:ascii="Arial" w:hAnsi="Arial" w:cs="Arial"/>
        </w:rPr>
        <w:t>In case of a holding company having more than one independently manufacturing units, or more than one unit having common business ownership/management, only one unit should quote. Similar restrictions would apply to closely related sister companies. Bidders must proactively declare such sister/ common business/ management units in same/ similar line of business. "</w:t>
      </w:r>
    </w:p>
    <w:p w:rsidR="00C943A2" w:rsidRPr="00C460F6" w:rsidRDefault="00C943A2" w:rsidP="00C943A2">
      <w:pPr>
        <w:spacing w:after="0" w:line="240" w:lineRule="auto"/>
        <w:ind w:left="142" w:hanging="426"/>
        <w:rPr>
          <w:rFonts w:ascii="Arial" w:hAnsi="Arial" w:cs="Arial"/>
        </w:rPr>
      </w:pPr>
    </w:p>
    <w:p w:rsidR="00926CCB" w:rsidRPr="00C460F6" w:rsidRDefault="00926CCB" w:rsidP="00926CCB">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 xml:space="preserve">Self-declarations/ auditor’s/ accountant’s certificates submitted by the manufacturer/ supplier may be verified randomly by the committee constituted as per </w:t>
      </w:r>
      <w:proofErr w:type="spellStart"/>
      <w:r w:rsidRPr="00C460F6">
        <w:rPr>
          <w:rFonts w:ascii="Arial" w:hAnsi="Arial" w:cs="Arial"/>
        </w:rPr>
        <w:t>MoP</w:t>
      </w:r>
      <w:proofErr w:type="spellEnd"/>
      <w:r w:rsidRPr="00C460F6">
        <w:rPr>
          <w:rFonts w:ascii="Arial" w:hAnsi="Arial" w:cs="Arial"/>
        </w:rPr>
        <w:t xml:space="preserve"> Order 28-07- 2020. In case of false documents/misrepresentation of the facts requisite action against such manufacturer/ supplier will be taken based on the recommendation of the Committee.”</w:t>
      </w:r>
      <w:r w:rsidRPr="00C460F6">
        <w:rPr>
          <w:rFonts w:ascii="Arial" w:hAnsi="Arial" w:cs="Arial"/>
        </w:rPr>
        <w:cr/>
      </w:r>
    </w:p>
    <w:p w:rsidR="00C943A2" w:rsidRPr="00C460F6" w:rsidRDefault="00C943A2" w:rsidP="00C943A2">
      <w:pPr>
        <w:pStyle w:val="ListParagraph"/>
        <w:numPr>
          <w:ilvl w:val="0"/>
          <w:numId w:val="13"/>
        </w:numPr>
        <w:spacing w:after="0" w:line="240" w:lineRule="auto"/>
        <w:ind w:left="142" w:hanging="426"/>
        <w:jc w:val="both"/>
        <w:rPr>
          <w:rFonts w:ascii="Arial" w:hAnsi="Arial" w:cs="Arial"/>
        </w:rPr>
      </w:pPr>
      <w:r w:rsidRPr="00C460F6">
        <w:rPr>
          <w:rFonts w:ascii="Arial" w:hAnsi="Arial" w:cs="Arial"/>
        </w:rPr>
        <w:t>All the above terms and conditions, post-bid agreements/</w:t>
      </w:r>
      <w:proofErr w:type="spellStart"/>
      <w:r w:rsidRPr="00C460F6">
        <w:rPr>
          <w:rFonts w:ascii="Arial" w:hAnsi="Arial" w:cs="Arial"/>
        </w:rPr>
        <w:t>MoMs</w:t>
      </w:r>
      <w:proofErr w:type="spellEnd"/>
      <w:r w:rsidRPr="00C460F6">
        <w:rPr>
          <w:rFonts w:ascii="Arial" w:hAnsi="Arial" w:cs="Arial"/>
        </w:rPr>
        <w:t xml:space="preserve"> (during Techno- Commercial evaluation) shall automatically become a part of the Order/Contract after its finalization.</w:t>
      </w:r>
    </w:p>
    <w:p w:rsidR="00C943A2" w:rsidRPr="00C460F6" w:rsidRDefault="00C943A2" w:rsidP="00C943A2">
      <w:pPr>
        <w:spacing w:after="0" w:line="240" w:lineRule="auto"/>
        <w:ind w:left="142" w:hanging="426"/>
        <w:rPr>
          <w:rFonts w:ascii="Arial" w:hAnsi="Arial" w:cs="Arial"/>
        </w:rPr>
      </w:pPr>
    </w:p>
    <w:p w:rsidR="00F2336E" w:rsidRPr="00F2336E" w:rsidRDefault="00C943A2" w:rsidP="00544B8E">
      <w:pPr>
        <w:pStyle w:val="ListParagraph"/>
        <w:numPr>
          <w:ilvl w:val="0"/>
          <w:numId w:val="13"/>
        </w:numPr>
        <w:spacing w:after="120" w:line="240" w:lineRule="auto"/>
        <w:ind w:left="141" w:hanging="425"/>
        <w:contextualSpacing w:val="0"/>
        <w:jc w:val="both"/>
        <w:rPr>
          <w:rFonts w:ascii="Arial" w:hAnsi="Arial" w:cs="Arial"/>
        </w:rPr>
      </w:pPr>
      <w:r w:rsidRPr="00F2336E">
        <w:rPr>
          <w:rFonts w:ascii="Arial" w:hAnsi="Arial" w:cs="Arial"/>
        </w:rPr>
        <w:t>All corrigenda, addenda, amendments, time extensions, clarifications, etc. to the tender will be hosted on BHEL website (www.bhel.com), GeM Portal &amp; BHEL-PEM website (www.pem.bhel.com). Bidders should regularly visit websites to keep themselves updated.</w:t>
      </w:r>
    </w:p>
    <w:p w:rsidR="00F2336E" w:rsidRDefault="00F2336E" w:rsidP="00F2336E">
      <w:pPr>
        <w:spacing w:after="120" w:line="240" w:lineRule="auto"/>
        <w:jc w:val="both"/>
        <w:rPr>
          <w:rFonts w:ascii="Arial" w:hAnsi="Arial" w:cs="Arial"/>
        </w:rPr>
      </w:pPr>
    </w:p>
    <w:p w:rsidR="00F2336E" w:rsidRDefault="00F2336E" w:rsidP="00F2336E">
      <w:pPr>
        <w:spacing w:after="120" w:line="240" w:lineRule="auto"/>
        <w:jc w:val="both"/>
        <w:rPr>
          <w:rFonts w:ascii="Arial" w:hAnsi="Arial" w:cs="Arial"/>
        </w:rPr>
      </w:pPr>
    </w:p>
    <w:p w:rsidR="00F2336E" w:rsidRPr="00F2336E" w:rsidRDefault="00F2336E" w:rsidP="00F2336E">
      <w:pPr>
        <w:spacing w:after="120" w:line="240" w:lineRule="auto"/>
        <w:jc w:val="both"/>
        <w:rPr>
          <w:rFonts w:ascii="Arial" w:hAnsi="Arial" w:cs="Arial"/>
        </w:rPr>
      </w:pPr>
    </w:p>
    <w:p w:rsidR="001A0611" w:rsidRPr="001A0611" w:rsidRDefault="001A0611" w:rsidP="001A0611">
      <w:pPr>
        <w:pStyle w:val="ListParagraph"/>
        <w:numPr>
          <w:ilvl w:val="0"/>
          <w:numId w:val="13"/>
        </w:numPr>
        <w:spacing w:line="256" w:lineRule="auto"/>
        <w:ind w:left="142" w:hanging="426"/>
        <w:jc w:val="both"/>
        <w:rPr>
          <w:rFonts w:ascii="Arial" w:hAnsi="Arial" w:cs="Arial"/>
        </w:rPr>
      </w:pPr>
      <w:r w:rsidRPr="001A0611">
        <w:rPr>
          <w:rFonts w:ascii="Arial" w:hAnsi="Arial" w:cs="Arial"/>
        </w:rPr>
        <w:t>All other correspondence thereof shall be addressed to the undersigned by name &amp; designation and sent at the following address:</w:t>
      </w:r>
    </w:p>
    <w:tbl>
      <w:tblPr>
        <w:tblW w:w="0" w:type="auto"/>
        <w:tblInd w:w="284" w:type="dxa"/>
        <w:tblBorders>
          <w:right w:val="single" w:sz="4" w:space="0" w:color="auto"/>
        </w:tblBorders>
        <w:tblLayout w:type="fixed"/>
        <w:tblLook w:val="04A0" w:firstRow="1" w:lastRow="0" w:firstColumn="1" w:lastColumn="0" w:noHBand="0" w:noVBand="1"/>
      </w:tblPr>
      <w:tblGrid>
        <w:gridCol w:w="9299"/>
      </w:tblGrid>
      <w:tr w:rsidR="001A0611" w:rsidRPr="002C3BA9" w:rsidTr="00123583">
        <w:tc>
          <w:tcPr>
            <w:tcW w:w="9299" w:type="dxa"/>
          </w:tcPr>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8"/>
              <w:gridCol w:w="4348"/>
            </w:tblGrid>
            <w:tr w:rsidR="00C601AB" w:rsidRPr="002C3BA9" w:rsidTr="001A0611">
              <w:trPr>
                <w:trHeight w:val="373"/>
              </w:trPr>
              <w:tc>
                <w:tcPr>
                  <w:tcW w:w="4348" w:type="dxa"/>
                </w:tcPr>
                <w:p w:rsidR="00C601AB" w:rsidRPr="002C3BA9" w:rsidRDefault="00C601AB" w:rsidP="00123583">
                  <w:pPr>
                    <w:pStyle w:val="NoSpacing"/>
                    <w:rPr>
                      <w:rFonts w:ascii="Calibri" w:hAnsi="Calibri" w:cs="Calibri"/>
                      <w:b/>
                    </w:rPr>
                  </w:pPr>
                  <w:r w:rsidRPr="002C3BA9">
                    <w:rPr>
                      <w:rFonts w:ascii="Calibri" w:hAnsi="Calibri" w:cs="Calibri"/>
                      <w:b/>
                    </w:rPr>
                    <w:t>Sanjeev Kumar/Dy. Engineer– BOP</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M/s Bharat Heavy Electricals Ltd.,</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Project Engineering Management,</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Power Project Engineering Institute,</w:t>
                  </w:r>
                </w:p>
                <w:p w:rsidR="00C601AB" w:rsidRPr="002C3BA9" w:rsidRDefault="00C601AB" w:rsidP="00123583">
                  <w:pPr>
                    <w:pStyle w:val="NoSpacing"/>
                    <w:rPr>
                      <w:rFonts w:ascii="Calibri" w:hAnsi="Calibri" w:cs="Calibri"/>
                      <w:b/>
                      <w:lang w:val="en-IN"/>
                    </w:rPr>
                  </w:pPr>
                  <w:proofErr w:type="spellStart"/>
                  <w:r w:rsidRPr="002C3BA9">
                    <w:rPr>
                      <w:rFonts w:ascii="Calibri" w:hAnsi="Calibri" w:cs="Calibri"/>
                      <w:b/>
                      <w:lang w:val="en-IN"/>
                    </w:rPr>
                    <w:t>HRD</w:t>
                  </w:r>
                  <w:proofErr w:type="spellEnd"/>
                  <w:r w:rsidRPr="002C3BA9">
                    <w:rPr>
                      <w:rFonts w:ascii="Calibri" w:hAnsi="Calibri" w:cs="Calibri"/>
                      <w:b/>
                      <w:lang w:val="en-IN"/>
                    </w:rPr>
                    <w:t xml:space="preserve"> &amp; </w:t>
                  </w:r>
                  <w:proofErr w:type="spellStart"/>
                  <w:r w:rsidRPr="002C3BA9">
                    <w:rPr>
                      <w:rFonts w:ascii="Calibri" w:hAnsi="Calibri" w:cs="Calibri"/>
                      <w:b/>
                      <w:lang w:val="en-IN"/>
                    </w:rPr>
                    <w:t>ESI</w:t>
                  </w:r>
                  <w:proofErr w:type="spellEnd"/>
                  <w:r w:rsidRPr="002C3BA9">
                    <w:rPr>
                      <w:rFonts w:ascii="Calibri" w:hAnsi="Calibri" w:cs="Calibri"/>
                      <w:b/>
                      <w:lang w:val="en-IN"/>
                    </w:rPr>
                    <w:t xml:space="preserve"> Complex,</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Plot No 25, Sector-16 A, Noida-201301</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 xml:space="preserve">E-MAIL: </w:t>
                  </w:r>
                  <w:hyperlink r:id="rId10" w:history="1">
                    <w:r w:rsidRPr="002C3BA9">
                      <w:rPr>
                        <w:rStyle w:val="Hyperlink"/>
                        <w:rFonts w:ascii="Calibri" w:hAnsi="Calibri" w:cs="Calibri"/>
                        <w:b/>
                        <w:lang w:val="en-IN"/>
                      </w:rPr>
                      <w:t>sanjeev_k@bhel.in</w:t>
                    </w:r>
                  </w:hyperlink>
                </w:p>
                <w:p w:rsidR="00C601AB" w:rsidRPr="002C3BA9" w:rsidRDefault="00C601AB" w:rsidP="00123583">
                  <w:pPr>
                    <w:pStyle w:val="NoSpacing"/>
                    <w:rPr>
                      <w:rFonts w:ascii="Calibri" w:hAnsi="Calibri" w:cs="Calibri"/>
                      <w:b/>
                    </w:rPr>
                  </w:pPr>
                  <w:r w:rsidRPr="002C3BA9">
                    <w:rPr>
                      <w:rFonts w:ascii="Calibri" w:hAnsi="Calibri" w:cs="Calibri"/>
                      <w:b/>
                      <w:lang w:val="en-IN"/>
                    </w:rPr>
                    <w:t>Ph. No. 0120-4368590</w:t>
                  </w:r>
                </w:p>
              </w:tc>
              <w:tc>
                <w:tcPr>
                  <w:tcW w:w="4348" w:type="dxa"/>
                </w:tcPr>
                <w:p w:rsidR="00C601AB" w:rsidRPr="002C3BA9" w:rsidRDefault="00C601AB" w:rsidP="00123583">
                  <w:pPr>
                    <w:pStyle w:val="NoSpacing"/>
                    <w:rPr>
                      <w:rFonts w:ascii="Calibri" w:hAnsi="Calibri" w:cs="Calibri"/>
                      <w:b/>
                      <w:lang w:val="en-IN"/>
                    </w:rPr>
                  </w:pPr>
                  <w:r w:rsidRPr="002C3BA9">
                    <w:rPr>
                      <w:rFonts w:ascii="Calibri" w:hAnsi="Calibri" w:cs="Calibri"/>
                      <w:b/>
                      <w:lang w:val="en-IN"/>
                    </w:rPr>
                    <w:t>Sumeet Sahay/</w:t>
                  </w:r>
                  <w:proofErr w:type="spellStart"/>
                  <w:r w:rsidRPr="002C3BA9">
                    <w:rPr>
                      <w:rFonts w:ascii="Calibri" w:hAnsi="Calibri" w:cs="Calibri"/>
                      <w:b/>
                      <w:lang w:val="en-IN"/>
                    </w:rPr>
                    <w:t>MGR</w:t>
                  </w:r>
                  <w:proofErr w:type="spellEnd"/>
                  <w:r w:rsidRPr="002C3BA9">
                    <w:rPr>
                      <w:rFonts w:ascii="Calibri" w:hAnsi="Calibri" w:cs="Calibri"/>
                      <w:b/>
                      <w:lang w:val="en-IN"/>
                    </w:rPr>
                    <w:t>-BOP</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M/s Bharat Heavy Electricals Ltd.,</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Project Engineering Management,</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Power Project Engineering Institute,</w:t>
                  </w:r>
                </w:p>
                <w:p w:rsidR="00C601AB" w:rsidRPr="002C3BA9" w:rsidRDefault="00C601AB" w:rsidP="00123583">
                  <w:pPr>
                    <w:pStyle w:val="NoSpacing"/>
                    <w:rPr>
                      <w:rFonts w:ascii="Calibri" w:hAnsi="Calibri" w:cs="Calibri"/>
                      <w:b/>
                      <w:lang w:val="en-IN"/>
                    </w:rPr>
                  </w:pPr>
                  <w:proofErr w:type="spellStart"/>
                  <w:r w:rsidRPr="002C3BA9">
                    <w:rPr>
                      <w:rFonts w:ascii="Calibri" w:hAnsi="Calibri" w:cs="Calibri"/>
                      <w:b/>
                      <w:lang w:val="en-IN"/>
                    </w:rPr>
                    <w:t>HRD</w:t>
                  </w:r>
                  <w:proofErr w:type="spellEnd"/>
                  <w:r w:rsidRPr="002C3BA9">
                    <w:rPr>
                      <w:rFonts w:ascii="Calibri" w:hAnsi="Calibri" w:cs="Calibri"/>
                      <w:b/>
                      <w:lang w:val="en-IN"/>
                    </w:rPr>
                    <w:t xml:space="preserve"> &amp; </w:t>
                  </w:r>
                  <w:proofErr w:type="spellStart"/>
                  <w:r w:rsidRPr="002C3BA9">
                    <w:rPr>
                      <w:rFonts w:ascii="Calibri" w:hAnsi="Calibri" w:cs="Calibri"/>
                      <w:b/>
                      <w:lang w:val="en-IN"/>
                    </w:rPr>
                    <w:t>ESI</w:t>
                  </w:r>
                  <w:proofErr w:type="spellEnd"/>
                  <w:r w:rsidRPr="002C3BA9">
                    <w:rPr>
                      <w:rFonts w:ascii="Calibri" w:hAnsi="Calibri" w:cs="Calibri"/>
                      <w:b/>
                      <w:lang w:val="en-IN"/>
                    </w:rPr>
                    <w:t xml:space="preserve"> Complex,</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Plot No 25, Sector-16 A, Noida-201301</w:t>
                  </w:r>
                </w:p>
                <w:p w:rsidR="00C601AB" w:rsidRPr="002C3BA9" w:rsidRDefault="00C601AB" w:rsidP="00123583">
                  <w:pPr>
                    <w:pStyle w:val="NoSpacing"/>
                    <w:rPr>
                      <w:rFonts w:ascii="Calibri" w:hAnsi="Calibri" w:cs="Calibri"/>
                      <w:b/>
                      <w:lang w:val="en-IN"/>
                    </w:rPr>
                  </w:pPr>
                  <w:r w:rsidRPr="002C3BA9">
                    <w:rPr>
                      <w:rFonts w:ascii="Calibri" w:hAnsi="Calibri" w:cs="Calibri"/>
                      <w:b/>
                      <w:lang w:val="en-IN"/>
                    </w:rPr>
                    <w:t xml:space="preserve">E-MAIL: </w:t>
                  </w:r>
                  <w:hyperlink r:id="rId11" w:history="1">
                    <w:r w:rsidRPr="002C3BA9">
                      <w:rPr>
                        <w:rFonts w:ascii="Calibri" w:hAnsi="Calibri" w:cs="Calibri"/>
                        <w:b/>
                      </w:rPr>
                      <w:t>sumeetsahay@bhel.in</w:t>
                    </w:r>
                  </w:hyperlink>
                  <w:r>
                    <w:rPr>
                      <w:rFonts w:ascii="Calibri" w:hAnsi="Calibri" w:cs="Calibri"/>
                      <w:b/>
                    </w:rPr>
                    <w:t xml:space="preserve"> </w:t>
                  </w:r>
                </w:p>
                <w:p w:rsidR="00C601AB" w:rsidRPr="002C3BA9" w:rsidRDefault="00C601AB" w:rsidP="00123583">
                  <w:pPr>
                    <w:pStyle w:val="NoSpacing"/>
                    <w:rPr>
                      <w:rFonts w:ascii="Calibri" w:hAnsi="Calibri" w:cs="Calibri"/>
                      <w:b/>
                      <w:bCs/>
                      <w:color w:val="000000"/>
                      <w:lang w:val="en-IN"/>
                    </w:rPr>
                  </w:pPr>
                  <w:r w:rsidRPr="002C3BA9">
                    <w:rPr>
                      <w:rFonts w:ascii="Calibri" w:hAnsi="Calibri" w:cs="Calibri"/>
                      <w:b/>
                      <w:lang w:val="en-IN"/>
                    </w:rPr>
                    <w:t>Ph. No. 09999498202</w:t>
                  </w:r>
                </w:p>
              </w:tc>
            </w:tr>
          </w:tbl>
          <w:p w:rsidR="001A0611" w:rsidRPr="002C3BA9" w:rsidRDefault="001A0611" w:rsidP="00123583">
            <w:pPr>
              <w:jc w:val="both"/>
              <w:rPr>
                <w:rFonts w:ascii="Calibri" w:hAnsi="Calibri" w:cs="Calibri"/>
              </w:rPr>
            </w:pPr>
          </w:p>
        </w:tc>
      </w:tr>
    </w:tbl>
    <w:p w:rsidR="001A0611" w:rsidRPr="00C460F6" w:rsidRDefault="001A0611" w:rsidP="001A0611">
      <w:pPr>
        <w:pStyle w:val="ListParagraph"/>
        <w:spacing w:after="0" w:line="240" w:lineRule="auto"/>
        <w:ind w:left="142"/>
        <w:jc w:val="both"/>
        <w:rPr>
          <w:rFonts w:ascii="Arial" w:hAnsi="Arial" w:cs="Arial"/>
        </w:rPr>
      </w:pPr>
    </w:p>
    <w:p w:rsidR="00C943A2" w:rsidRPr="001A0611" w:rsidRDefault="00C943A2" w:rsidP="001A0611">
      <w:pPr>
        <w:spacing w:after="0" w:line="240" w:lineRule="auto"/>
        <w:jc w:val="both"/>
        <w:rPr>
          <w:rFonts w:ascii="Arial" w:hAnsi="Arial" w:cs="Arial"/>
        </w:rPr>
      </w:pPr>
    </w:p>
    <w:p w:rsidR="006568B9" w:rsidRPr="00C460F6" w:rsidRDefault="006568B9" w:rsidP="00C943A2">
      <w:pPr>
        <w:spacing w:after="0" w:line="240" w:lineRule="auto"/>
        <w:ind w:left="142" w:hanging="426"/>
        <w:rPr>
          <w:rFonts w:ascii="Arial" w:hAnsi="Arial" w:cs="Arial"/>
        </w:rPr>
      </w:pPr>
    </w:p>
    <w:sectPr w:rsidR="006568B9" w:rsidRPr="00C460F6" w:rsidSect="00C460F6">
      <w:headerReference w:type="default" r:id="rId12"/>
      <w:pgSz w:w="12240" w:h="15840"/>
      <w:pgMar w:top="1135" w:right="1440" w:bottom="7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1C" w:rsidRDefault="00BB4A1C" w:rsidP="00EC19D5">
      <w:pPr>
        <w:spacing w:after="0" w:line="240" w:lineRule="auto"/>
      </w:pPr>
      <w:r>
        <w:separator/>
      </w:r>
    </w:p>
  </w:endnote>
  <w:endnote w:type="continuationSeparator" w:id="0">
    <w:p w:rsidR="00BB4A1C" w:rsidRDefault="00BB4A1C" w:rsidP="00EC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1C" w:rsidRDefault="00BB4A1C" w:rsidP="00EC19D5">
      <w:pPr>
        <w:spacing w:after="0" w:line="240" w:lineRule="auto"/>
      </w:pPr>
      <w:r>
        <w:separator/>
      </w:r>
    </w:p>
  </w:footnote>
  <w:footnote w:type="continuationSeparator" w:id="0">
    <w:p w:rsidR="00BB4A1C" w:rsidRDefault="00BB4A1C" w:rsidP="00EC1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339" w:rsidRDefault="00BB2339" w:rsidP="00BB2339">
    <w:pPr>
      <w:pStyle w:val="Header"/>
      <w:spacing w:after="160"/>
      <w:jc w:val="center"/>
      <w:rPr>
        <w:rFonts w:ascii="Arial" w:hAnsi="Arial" w:cs="Arial"/>
        <w:b/>
        <w:sz w:val="28"/>
        <w:szCs w:val="28"/>
      </w:rPr>
    </w:pPr>
    <w:r>
      <w:rPr>
        <w:rFonts w:ascii="Arial" w:hAnsi="Arial" w:cs="Arial"/>
        <w:b/>
        <w:sz w:val="28"/>
        <w:szCs w:val="28"/>
      </w:rPr>
      <w:t xml:space="preserve">Project- </w:t>
    </w:r>
    <w:r w:rsidR="00911B2A" w:rsidRPr="00911B2A">
      <w:rPr>
        <w:rFonts w:ascii="Arial" w:hAnsi="Arial" w:cs="Arial"/>
        <w:b/>
        <w:sz w:val="28"/>
        <w:szCs w:val="28"/>
      </w:rPr>
      <w:t>5 x 800 MW Yadadri TPS</w:t>
    </w:r>
  </w:p>
  <w:p w:rsidR="00BB2339" w:rsidRPr="00C460F6" w:rsidRDefault="00C460F6" w:rsidP="00C460F6">
    <w:pPr>
      <w:jc w:val="center"/>
      <w:rPr>
        <w:rFonts w:cstheme="minorHAnsi"/>
        <w:b/>
        <w:color w:val="002060"/>
        <w:sz w:val="24"/>
        <w:szCs w:val="24"/>
      </w:rPr>
    </w:pPr>
    <w:r w:rsidRPr="00C460F6">
      <w:rPr>
        <w:rFonts w:cstheme="minorHAnsi"/>
        <w:b/>
        <w:color w:val="002060"/>
        <w:sz w:val="24"/>
        <w:szCs w:val="24"/>
      </w:rPr>
      <w:t>ADDITIONAL TERMS &amp; CONDITIONS (ATC)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C0E"/>
    <w:multiLevelType w:val="hybridMultilevel"/>
    <w:tmpl w:val="F6303A5A"/>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CEB46C3"/>
    <w:multiLevelType w:val="hybridMultilevel"/>
    <w:tmpl w:val="BDEE06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F62F87"/>
    <w:multiLevelType w:val="hybridMultilevel"/>
    <w:tmpl w:val="31FCE86E"/>
    <w:lvl w:ilvl="0" w:tplc="4009000F">
      <w:start w:val="1"/>
      <w:numFmt w:val="decimal"/>
      <w:lvlText w:val="%1."/>
      <w:lvlJc w:val="left"/>
      <w:pPr>
        <w:ind w:left="720" w:hanging="360"/>
      </w:pPr>
    </w:lvl>
    <w:lvl w:ilvl="1" w:tplc="2D0A6714">
      <w:start w:val="1"/>
      <w:numFmt w:val="lowerLetter"/>
      <w:lvlText w:val="%2."/>
      <w:lvlJc w:val="left"/>
      <w:pPr>
        <w:ind w:left="1440" w:hanging="360"/>
      </w:pPr>
      <w:rPr>
        <w:rFonts w:hint="default"/>
      </w:rPr>
    </w:lvl>
    <w:lvl w:ilvl="2" w:tplc="230029D2">
      <w:start w:val="1"/>
      <w:numFmt w:val="lowerLetter"/>
      <w:lvlText w:val="%3)"/>
      <w:lvlJc w:val="left"/>
      <w:pPr>
        <w:ind w:left="2340" w:hanging="36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5994D19"/>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4" w15:restartNumberingAfterBreak="0">
    <w:nsid w:val="1D627949"/>
    <w:multiLevelType w:val="hybridMultilevel"/>
    <w:tmpl w:val="EF10CA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51396B"/>
    <w:multiLevelType w:val="hybridMultilevel"/>
    <w:tmpl w:val="04E044BC"/>
    <w:lvl w:ilvl="0" w:tplc="1C764A7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2F7060B"/>
    <w:multiLevelType w:val="hybridMultilevel"/>
    <w:tmpl w:val="9440D2F4"/>
    <w:lvl w:ilvl="0" w:tplc="5C18A1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A4128B"/>
    <w:multiLevelType w:val="hybridMultilevel"/>
    <w:tmpl w:val="E2D6EA2A"/>
    <w:lvl w:ilvl="0" w:tplc="3FF63934">
      <w:start w:val="1"/>
      <w:numFmt w:val="decimal"/>
      <w:lvlText w:val="%1."/>
      <w:lvlJc w:val="left"/>
      <w:pPr>
        <w:ind w:left="1215" w:hanging="360"/>
      </w:pPr>
      <w:rPr>
        <w:rFonts w:hint="default"/>
      </w:rPr>
    </w:lvl>
    <w:lvl w:ilvl="1" w:tplc="40090019" w:tentative="1">
      <w:start w:val="1"/>
      <w:numFmt w:val="lowerLetter"/>
      <w:lvlText w:val="%2."/>
      <w:lvlJc w:val="left"/>
      <w:pPr>
        <w:ind w:left="1935" w:hanging="360"/>
      </w:pPr>
    </w:lvl>
    <w:lvl w:ilvl="2" w:tplc="4009001B" w:tentative="1">
      <w:start w:val="1"/>
      <w:numFmt w:val="lowerRoman"/>
      <w:lvlText w:val="%3."/>
      <w:lvlJc w:val="right"/>
      <w:pPr>
        <w:ind w:left="2655" w:hanging="180"/>
      </w:pPr>
    </w:lvl>
    <w:lvl w:ilvl="3" w:tplc="4009000F" w:tentative="1">
      <w:start w:val="1"/>
      <w:numFmt w:val="decimal"/>
      <w:lvlText w:val="%4."/>
      <w:lvlJc w:val="left"/>
      <w:pPr>
        <w:ind w:left="3375" w:hanging="360"/>
      </w:pPr>
    </w:lvl>
    <w:lvl w:ilvl="4" w:tplc="40090019" w:tentative="1">
      <w:start w:val="1"/>
      <w:numFmt w:val="lowerLetter"/>
      <w:lvlText w:val="%5."/>
      <w:lvlJc w:val="left"/>
      <w:pPr>
        <w:ind w:left="4095" w:hanging="360"/>
      </w:pPr>
    </w:lvl>
    <w:lvl w:ilvl="5" w:tplc="4009001B" w:tentative="1">
      <w:start w:val="1"/>
      <w:numFmt w:val="lowerRoman"/>
      <w:lvlText w:val="%6."/>
      <w:lvlJc w:val="right"/>
      <w:pPr>
        <w:ind w:left="4815" w:hanging="180"/>
      </w:pPr>
    </w:lvl>
    <w:lvl w:ilvl="6" w:tplc="4009000F" w:tentative="1">
      <w:start w:val="1"/>
      <w:numFmt w:val="decimal"/>
      <w:lvlText w:val="%7."/>
      <w:lvlJc w:val="left"/>
      <w:pPr>
        <w:ind w:left="5535" w:hanging="360"/>
      </w:pPr>
    </w:lvl>
    <w:lvl w:ilvl="7" w:tplc="40090019" w:tentative="1">
      <w:start w:val="1"/>
      <w:numFmt w:val="lowerLetter"/>
      <w:lvlText w:val="%8."/>
      <w:lvlJc w:val="left"/>
      <w:pPr>
        <w:ind w:left="6255" w:hanging="360"/>
      </w:pPr>
    </w:lvl>
    <w:lvl w:ilvl="8" w:tplc="4009001B" w:tentative="1">
      <w:start w:val="1"/>
      <w:numFmt w:val="lowerRoman"/>
      <w:lvlText w:val="%9."/>
      <w:lvlJc w:val="right"/>
      <w:pPr>
        <w:ind w:left="6975" w:hanging="180"/>
      </w:pPr>
    </w:lvl>
  </w:abstractNum>
  <w:abstractNum w:abstractNumId="8" w15:restartNumberingAfterBreak="0">
    <w:nsid w:val="3C455E1C"/>
    <w:multiLevelType w:val="hybridMultilevel"/>
    <w:tmpl w:val="468E02A4"/>
    <w:lvl w:ilvl="0" w:tplc="40090017">
      <w:start w:val="1"/>
      <w:numFmt w:val="lowerLetter"/>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9" w15:restartNumberingAfterBreak="0">
    <w:nsid w:val="4EFA017D"/>
    <w:multiLevelType w:val="hybridMultilevel"/>
    <w:tmpl w:val="79A2C77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55710622"/>
    <w:multiLevelType w:val="hybridMultilevel"/>
    <w:tmpl w:val="FDD0DC4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2F1073"/>
    <w:multiLevelType w:val="hybridMultilevel"/>
    <w:tmpl w:val="166C9FE2"/>
    <w:lvl w:ilvl="0" w:tplc="6A5492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2396F0F"/>
    <w:multiLevelType w:val="hybridMultilevel"/>
    <w:tmpl w:val="2424FDDA"/>
    <w:lvl w:ilvl="0" w:tplc="17B85B54">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6902443B"/>
    <w:multiLevelType w:val="hybridMultilevel"/>
    <w:tmpl w:val="A32C7D76"/>
    <w:lvl w:ilvl="0" w:tplc="40090017">
      <w:start w:val="1"/>
      <w:numFmt w:val="lowerLetter"/>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4" w15:restartNumberingAfterBreak="0">
    <w:nsid w:val="759E104C"/>
    <w:multiLevelType w:val="hybridMultilevel"/>
    <w:tmpl w:val="7668EA3E"/>
    <w:lvl w:ilvl="0" w:tplc="D0C483B4">
      <w:start w:val="1"/>
      <w:numFmt w:val="decimal"/>
      <w:lvlText w:val="%1."/>
      <w:lvlJc w:val="left"/>
      <w:pPr>
        <w:ind w:left="6598"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5"/>
  </w:num>
  <w:num w:numId="4">
    <w:abstractNumId w:val="1"/>
  </w:num>
  <w:num w:numId="5">
    <w:abstractNumId w:val="11"/>
  </w:num>
  <w:num w:numId="6">
    <w:abstractNumId w:val="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13"/>
  </w:num>
  <w:num w:numId="16">
    <w:abstractNumId w:val="8"/>
  </w:num>
  <w:num w:numId="17">
    <w:abstractNumId w:val="9"/>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30"/>
    <w:rsid w:val="00144301"/>
    <w:rsid w:val="00164ACC"/>
    <w:rsid w:val="001A0611"/>
    <w:rsid w:val="00232CDA"/>
    <w:rsid w:val="002342DE"/>
    <w:rsid w:val="002E7AB7"/>
    <w:rsid w:val="004A5B12"/>
    <w:rsid w:val="004E1758"/>
    <w:rsid w:val="004F697F"/>
    <w:rsid w:val="00592CB6"/>
    <w:rsid w:val="00616048"/>
    <w:rsid w:val="006568B9"/>
    <w:rsid w:val="00710F32"/>
    <w:rsid w:val="00713909"/>
    <w:rsid w:val="00733F04"/>
    <w:rsid w:val="00764929"/>
    <w:rsid w:val="007915D1"/>
    <w:rsid w:val="007F0480"/>
    <w:rsid w:val="008159EB"/>
    <w:rsid w:val="0087766E"/>
    <w:rsid w:val="0089535B"/>
    <w:rsid w:val="00911B2A"/>
    <w:rsid w:val="00926CCB"/>
    <w:rsid w:val="00966BEF"/>
    <w:rsid w:val="009F5F50"/>
    <w:rsid w:val="00A15997"/>
    <w:rsid w:val="00A725FF"/>
    <w:rsid w:val="00AA2854"/>
    <w:rsid w:val="00AA55CF"/>
    <w:rsid w:val="00AF3430"/>
    <w:rsid w:val="00B23E08"/>
    <w:rsid w:val="00B51ECA"/>
    <w:rsid w:val="00BB2339"/>
    <w:rsid w:val="00BB4A1C"/>
    <w:rsid w:val="00C05F57"/>
    <w:rsid w:val="00C460F6"/>
    <w:rsid w:val="00C601AB"/>
    <w:rsid w:val="00C82084"/>
    <w:rsid w:val="00C943A2"/>
    <w:rsid w:val="00D12F47"/>
    <w:rsid w:val="00D13F4A"/>
    <w:rsid w:val="00D63F3E"/>
    <w:rsid w:val="00DF0076"/>
    <w:rsid w:val="00EC19D5"/>
    <w:rsid w:val="00EC6374"/>
    <w:rsid w:val="00F2336E"/>
    <w:rsid w:val="00F30090"/>
    <w:rsid w:val="00F34EFE"/>
    <w:rsid w:val="00F351F7"/>
    <w:rsid w:val="00F835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5799"/>
  <w15:chartTrackingRefBased/>
  <w15:docId w15:val="{95D6E0F1-AD1D-4D40-A8B9-FAAB5D25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9D5"/>
  </w:style>
  <w:style w:type="paragraph" w:styleId="Footer">
    <w:name w:val="footer"/>
    <w:basedOn w:val="Normal"/>
    <w:link w:val="FooterChar"/>
    <w:uiPriority w:val="99"/>
    <w:unhideWhenUsed/>
    <w:rsid w:val="00EC1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9D5"/>
  </w:style>
  <w:style w:type="character" w:styleId="Hyperlink">
    <w:name w:val="Hyperlink"/>
    <w:basedOn w:val="DefaultParagraphFont"/>
    <w:uiPriority w:val="99"/>
    <w:unhideWhenUsed/>
    <w:rsid w:val="00EC19D5"/>
    <w:rPr>
      <w:color w:val="0563C1" w:themeColor="hyperlink"/>
      <w:u w:val="single"/>
    </w:rPr>
  </w:style>
  <w:style w:type="paragraph" w:styleId="ListParagraph">
    <w:name w:val="List Paragraph"/>
    <w:basedOn w:val="Normal"/>
    <w:uiPriority w:val="34"/>
    <w:qFormat/>
    <w:rsid w:val="00EC19D5"/>
    <w:pPr>
      <w:ind w:left="720"/>
      <w:contextualSpacing/>
    </w:pPr>
  </w:style>
  <w:style w:type="character" w:styleId="PlaceholderText">
    <w:name w:val="Placeholder Text"/>
    <w:basedOn w:val="DefaultParagraphFont"/>
    <w:uiPriority w:val="99"/>
    <w:semiHidden/>
    <w:rsid w:val="00F351F7"/>
    <w:rPr>
      <w:color w:val="808080"/>
    </w:rPr>
  </w:style>
  <w:style w:type="paragraph" w:styleId="NoSpacing">
    <w:name w:val="No Spacing"/>
    <w:uiPriority w:val="1"/>
    <w:qFormat/>
    <w:rsid w:val="00C943A2"/>
    <w:pPr>
      <w:spacing w:after="0" w:line="240" w:lineRule="auto"/>
    </w:pPr>
  </w:style>
  <w:style w:type="table" w:styleId="TableGrid">
    <w:name w:val="Table Grid"/>
    <w:basedOn w:val="TableNormal"/>
    <w:uiPriority w:val="59"/>
    <w:rsid w:val="00C05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465433">
      <w:bodyDiv w:val="1"/>
      <w:marLeft w:val="0"/>
      <w:marRight w:val="0"/>
      <w:marTop w:val="0"/>
      <w:marBottom w:val="0"/>
      <w:divBdr>
        <w:top w:val="none" w:sz="0" w:space="0" w:color="auto"/>
        <w:left w:val="none" w:sz="0" w:space="0" w:color="auto"/>
        <w:bottom w:val="none" w:sz="0" w:space="0" w:color="auto"/>
        <w:right w:val="none" w:sz="0" w:space="0" w:color="auto"/>
      </w:divBdr>
    </w:div>
    <w:div w:id="851381683">
      <w:bodyDiv w:val="1"/>
      <w:marLeft w:val="0"/>
      <w:marRight w:val="0"/>
      <w:marTop w:val="0"/>
      <w:marBottom w:val="0"/>
      <w:divBdr>
        <w:top w:val="none" w:sz="0" w:space="0" w:color="auto"/>
        <w:left w:val="none" w:sz="0" w:space="0" w:color="auto"/>
        <w:bottom w:val="none" w:sz="0" w:space="0" w:color="auto"/>
        <w:right w:val="none" w:sz="0" w:space="0" w:color="auto"/>
      </w:divBdr>
    </w:div>
    <w:div w:id="156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m.bhe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meetsahay@bhel.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njeev_k@bhel.in" TargetMode="External"/><Relationship Id="rId4" Type="http://schemas.openxmlformats.org/officeDocument/2006/relationships/webSettings" Target="webSettings.xml"/><Relationship Id="rId9" Type="http://schemas.openxmlformats.org/officeDocument/2006/relationships/hyperlink" Target="http://www.pem.bhel.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88C009378C4C7CA4F212A7F488B0C2"/>
        <w:category>
          <w:name w:val="General"/>
          <w:gallery w:val="placeholder"/>
        </w:category>
        <w:types>
          <w:type w:val="bbPlcHdr"/>
        </w:types>
        <w:behaviors>
          <w:behavior w:val="content"/>
        </w:behaviors>
        <w:guid w:val="{6DE30F67-316F-4E31-9AE7-0EE675B1ECE8}"/>
      </w:docPartPr>
      <w:docPartBody>
        <w:p w:rsidR="00B208C9" w:rsidRDefault="00496506" w:rsidP="00496506">
          <w:pPr>
            <w:pStyle w:val="7088C009378C4C7CA4F212A7F488B0C2"/>
          </w:pPr>
          <w:r w:rsidRPr="00C74FA4">
            <w:rPr>
              <w:rStyle w:val="PlaceholderText"/>
              <w:color w:val="FF0000"/>
            </w:rPr>
            <w:t>Click or tap here to enter text.</w:t>
          </w:r>
        </w:p>
      </w:docPartBody>
    </w:docPart>
    <w:docPart>
      <w:docPartPr>
        <w:name w:val="AB3F09A9CA3D48729F54F0BE4C37313F"/>
        <w:category>
          <w:name w:val="General"/>
          <w:gallery w:val="placeholder"/>
        </w:category>
        <w:types>
          <w:type w:val="bbPlcHdr"/>
        </w:types>
        <w:behaviors>
          <w:behavior w:val="content"/>
        </w:behaviors>
        <w:guid w:val="{BEAD6E49-E873-48F6-A2B0-DD0B6F0BDE7D}"/>
      </w:docPartPr>
      <w:docPartBody>
        <w:p w:rsidR="00B208C9" w:rsidRDefault="00496506" w:rsidP="00496506">
          <w:pPr>
            <w:pStyle w:val="AB3F09A9CA3D48729F54F0BE4C37313F"/>
          </w:pPr>
          <w:r w:rsidRPr="00C74FA4">
            <w:rPr>
              <w:rStyle w:val="PlaceholderText"/>
              <w:color w:val="FF0000"/>
            </w:rPr>
            <w:t>Click or tap here to enter text.</w:t>
          </w:r>
        </w:p>
      </w:docPartBody>
    </w:docPart>
    <w:docPart>
      <w:docPartPr>
        <w:name w:val="8F9062D3BA7B4613A8C25BDA424ED5B9"/>
        <w:category>
          <w:name w:val="General"/>
          <w:gallery w:val="placeholder"/>
        </w:category>
        <w:types>
          <w:type w:val="bbPlcHdr"/>
        </w:types>
        <w:behaviors>
          <w:behavior w:val="content"/>
        </w:behaviors>
        <w:guid w:val="{9CEDBF11-FF57-4710-A10C-D1D7AED4D451}"/>
      </w:docPartPr>
      <w:docPartBody>
        <w:p w:rsidR="00B208C9" w:rsidRDefault="00496506" w:rsidP="00496506">
          <w:pPr>
            <w:pStyle w:val="8F9062D3BA7B4613A8C25BDA424ED5B9"/>
          </w:pPr>
          <w:r w:rsidRPr="00562678">
            <w:rPr>
              <w:rStyle w:val="PlaceholderText"/>
              <w:color w:val="FF0000"/>
            </w:rPr>
            <w:t>Choose an item.</w:t>
          </w:r>
        </w:p>
      </w:docPartBody>
    </w:docPart>
    <w:docPart>
      <w:docPartPr>
        <w:name w:val="E0A2AD58D39A4DA5933F7631CA739479"/>
        <w:category>
          <w:name w:val="General"/>
          <w:gallery w:val="placeholder"/>
        </w:category>
        <w:types>
          <w:type w:val="bbPlcHdr"/>
        </w:types>
        <w:behaviors>
          <w:behavior w:val="content"/>
        </w:behaviors>
        <w:guid w:val="{0785DDC2-264E-4B6A-9DD4-027C2EB2B0A6}"/>
      </w:docPartPr>
      <w:docPartBody>
        <w:p w:rsidR="00B208C9" w:rsidRDefault="00496506" w:rsidP="00496506">
          <w:pPr>
            <w:pStyle w:val="E0A2AD58D39A4DA5933F7631CA739479"/>
          </w:pPr>
          <w:r w:rsidRPr="00562678">
            <w:rPr>
              <w:rStyle w:val="PlaceholderText"/>
              <w:color w:val="FF0000"/>
            </w:rPr>
            <w:t>Choose an item.</w:t>
          </w:r>
        </w:p>
      </w:docPartBody>
    </w:docPart>
    <w:docPart>
      <w:docPartPr>
        <w:name w:val="60A0BD712C9E498996FFF5B999A7EF8C"/>
        <w:category>
          <w:name w:val="General"/>
          <w:gallery w:val="placeholder"/>
        </w:category>
        <w:types>
          <w:type w:val="bbPlcHdr"/>
        </w:types>
        <w:behaviors>
          <w:behavior w:val="content"/>
        </w:behaviors>
        <w:guid w:val="{FBE68D8B-A81C-40AF-9580-6A15382B28E5}"/>
      </w:docPartPr>
      <w:docPartBody>
        <w:p w:rsidR="00B208C9" w:rsidRDefault="00496506" w:rsidP="00496506">
          <w:pPr>
            <w:pStyle w:val="60A0BD712C9E498996FFF5B999A7EF8C"/>
          </w:pPr>
          <w:r w:rsidRPr="00562678">
            <w:rPr>
              <w:rStyle w:val="PlaceholderText"/>
              <w:color w:val="FF0000"/>
            </w:rPr>
            <w:t>Choose an item.</w:t>
          </w:r>
        </w:p>
      </w:docPartBody>
    </w:docPart>
    <w:docPart>
      <w:docPartPr>
        <w:name w:val="CA9714A198FA4ED3938BC84B04EEF8F6"/>
        <w:category>
          <w:name w:val="General"/>
          <w:gallery w:val="placeholder"/>
        </w:category>
        <w:types>
          <w:type w:val="bbPlcHdr"/>
        </w:types>
        <w:behaviors>
          <w:behavior w:val="content"/>
        </w:behaviors>
        <w:guid w:val="{164A2BA3-C2D4-4ADC-8C9A-FC4E6B2A58FC}"/>
      </w:docPartPr>
      <w:docPartBody>
        <w:p w:rsidR="00B208C9" w:rsidRDefault="00496506" w:rsidP="00496506">
          <w:pPr>
            <w:pStyle w:val="CA9714A198FA4ED3938BC84B04EEF8F6"/>
          </w:pPr>
          <w:r w:rsidRPr="00FA5272">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06"/>
    <w:rsid w:val="00496506"/>
    <w:rsid w:val="00810F3C"/>
    <w:rsid w:val="00AA51D3"/>
    <w:rsid w:val="00AD16D0"/>
    <w:rsid w:val="00B208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506"/>
    <w:rPr>
      <w:color w:val="808080"/>
    </w:rPr>
  </w:style>
  <w:style w:type="paragraph" w:customStyle="1" w:styleId="7088C009378C4C7CA4F212A7F488B0C2">
    <w:name w:val="7088C009378C4C7CA4F212A7F488B0C2"/>
    <w:rsid w:val="00496506"/>
    <w:rPr>
      <w:rFonts w:cs="Mangal"/>
    </w:rPr>
  </w:style>
  <w:style w:type="paragraph" w:customStyle="1" w:styleId="AB3F09A9CA3D48729F54F0BE4C37313F">
    <w:name w:val="AB3F09A9CA3D48729F54F0BE4C37313F"/>
    <w:rsid w:val="00496506"/>
    <w:rPr>
      <w:rFonts w:cs="Mangal"/>
    </w:rPr>
  </w:style>
  <w:style w:type="paragraph" w:customStyle="1" w:styleId="8F9062D3BA7B4613A8C25BDA424ED5B9">
    <w:name w:val="8F9062D3BA7B4613A8C25BDA424ED5B9"/>
    <w:rsid w:val="00496506"/>
    <w:rPr>
      <w:rFonts w:cs="Mangal"/>
    </w:rPr>
  </w:style>
  <w:style w:type="paragraph" w:customStyle="1" w:styleId="E0A2AD58D39A4DA5933F7631CA739479">
    <w:name w:val="E0A2AD58D39A4DA5933F7631CA739479"/>
    <w:rsid w:val="00496506"/>
    <w:rPr>
      <w:rFonts w:cs="Mangal"/>
    </w:rPr>
  </w:style>
  <w:style w:type="paragraph" w:customStyle="1" w:styleId="60A0BD712C9E498996FFF5B999A7EF8C">
    <w:name w:val="60A0BD712C9E498996FFF5B999A7EF8C"/>
    <w:rsid w:val="00496506"/>
    <w:rPr>
      <w:rFonts w:cs="Mangal"/>
    </w:rPr>
  </w:style>
  <w:style w:type="paragraph" w:customStyle="1" w:styleId="CA9714A198FA4ED3938BC84B04EEF8F6">
    <w:name w:val="CA9714A198FA4ED3938BC84B04EEF8F6"/>
    <w:rsid w:val="00496506"/>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Sharad Chandra</dc:creator>
  <cp:keywords/>
  <dc:description/>
  <cp:lastModifiedBy>Sanjeev Kumar</cp:lastModifiedBy>
  <cp:revision>7</cp:revision>
  <cp:lastPrinted>2023-07-07T10:06:00Z</cp:lastPrinted>
  <dcterms:created xsi:type="dcterms:W3CDTF">2023-07-12T06:26:00Z</dcterms:created>
  <dcterms:modified xsi:type="dcterms:W3CDTF">2023-07-12T09:34:00Z</dcterms:modified>
</cp:coreProperties>
</file>