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92C4C" w:rsidRDefault="009F1653" w:rsidP="00692C4C">
      <w:pPr>
        <w:rPr>
          <w:rFonts w:cs="Times New Roman"/>
          <w:b/>
          <w:bCs/>
          <w:sz w:val="24"/>
          <w:szCs w:val="24"/>
        </w:rPr>
      </w:pPr>
      <w:r w:rsidRPr="006711A0">
        <w:rPr>
          <w:rFonts w:cs="Times New Roman"/>
          <w:b/>
          <w:bCs/>
          <w:sz w:val="24"/>
          <w:szCs w:val="24"/>
        </w:rPr>
        <w:t>DT.</w:t>
      </w:r>
      <w:r w:rsidR="00655C60">
        <w:rPr>
          <w:rFonts w:cs="Times New Roman"/>
          <w:b/>
          <w:bCs/>
          <w:sz w:val="24"/>
          <w:szCs w:val="24"/>
        </w:rPr>
        <w:t>13/01/2020</w:t>
      </w:r>
    </w:p>
    <w:p w:rsidR="00BA12F4" w:rsidRPr="00692C4C" w:rsidRDefault="00BA12F4" w:rsidP="00692C4C">
      <w:pPr>
        <w:jc w:val="center"/>
        <w:rPr>
          <w:rFonts w:cs="Times New Roman"/>
          <w:b/>
          <w:bCs/>
          <w:sz w:val="24"/>
          <w:szCs w:val="24"/>
          <w:u w:val="single"/>
        </w:rPr>
      </w:pPr>
      <w:r w:rsidRPr="00692C4C">
        <w:rPr>
          <w:rFonts w:cs="Times New Roman"/>
          <w:b/>
          <w:bCs/>
          <w:sz w:val="24"/>
          <w:szCs w:val="24"/>
          <w:u w:val="single"/>
        </w:rPr>
        <w:t xml:space="preserve">Tender </w:t>
      </w:r>
      <w:r w:rsidR="009F1653" w:rsidRPr="00692C4C">
        <w:rPr>
          <w:rFonts w:cs="Times New Roman"/>
          <w:b/>
          <w:bCs/>
          <w:sz w:val="24"/>
          <w:szCs w:val="24"/>
          <w:u w:val="single"/>
        </w:rPr>
        <w:t>Enquiry No.  FRX/17/</w:t>
      </w:r>
      <w:r w:rsidR="007D499B" w:rsidRPr="00692C4C">
        <w:rPr>
          <w:rFonts w:cs="Times New Roman"/>
          <w:b/>
          <w:bCs/>
          <w:sz w:val="24"/>
          <w:szCs w:val="24"/>
          <w:u w:val="single"/>
        </w:rPr>
        <w:t>1920</w:t>
      </w:r>
      <w:r w:rsidRPr="00692C4C">
        <w:rPr>
          <w:rFonts w:cs="Times New Roman"/>
          <w:b/>
          <w:bCs/>
          <w:sz w:val="24"/>
          <w:szCs w:val="24"/>
          <w:u w:val="single"/>
        </w:rPr>
        <w:t>/</w:t>
      </w:r>
      <w:r w:rsidR="004010C1" w:rsidRPr="00692C4C">
        <w:rPr>
          <w:rFonts w:cs="Times New Roman"/>
          <w:b/>
          <w:bCs/>
          <w:sz w:val="24"/>
          <w:szCs w:val="24"/>
          <w:u w:val="single"/>
        </w:rPr>
        <w:t>37</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the Contractors registered with MPSEB, PWD, CPWD, Railway, other Govt. under taking and 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D25AA" w:rsidRPr="00133840">
        <w:rPr>
          <w:sz w:val="24"/>
          <w:szCs w:val="24"/>
        </w:rPr>
        <w:t xml:space="preserve">Preventive/Breakdown </w:t>
      </w:r>
      <w:r w:rsidR="006D25AA" w:rsidRPr="00133840">
        <w:rPr>
          <w:snapToGrid w:val="0"/>
          <w:sz w:val="24"/>
          <w:szCs w:val="24"/>
        </w:rPr>
        <w:t xml:space="preserve">Maintenance of </w:t>
      </w:r>
      <w:r w:rsidR="000C7459">
        <w:rPr>
          <w:snapToGrid w:val="0"/>
          <w:sz w:val="24"/>
          <w:szCs w:val="24"/>
        </w:rPr>
        <w:t xml:space="preserve"> M/C tools </w:t>
      </w:r>
      <w:r w:rsidR="00AF402F">
        <w:rPr>
          <w:snapToGrid w:val="0"/>
          <w:sz w:val="24"/>
          <w:szCs w:val="24"/>
        </w:rPr>
        <w:t xml:space="preserve">and </w:t>
      </w:r>
      <w:r w:rsidR="000C7459">
        <w:rPr>
          <w:snapToGrid w:val="0"/>
          <w:sz w:val="24"/>
          <w:szCs w:val="24"/>
        </w:rPr>
        <w:t xml:space="preserve">plants in TCB and UHV TRM BLIII </w:t>
      </w:r>
      <w:r w:rsidR="00AF402F">
        <w:rPr>
          <w:snapToGrid w:val="0"/>
          <w:sz w:val="24"/>
          <w:szCs w:val="24"/>
        </w:rPr>
        <w:t xml:space="preserve"> as per </w:t>
      </w:r>
      <w:r w:rsidR="006D25AA" w:rsidRPr="00EF7C6F">
        <w:rPr>
          <w:sz w:val="24"/>
          <w:szCs w:val="24"/>
        </w:rPr>
        <w:t xml:space="preserve">as per Annexure – I (scope of work),  </w:t>
      </w:r>
      <w:r w:rsidR="000C7459">
        <w:rPr>
          <w:sz w:val="24"/>
          <w:szCs w:val="24"/>
        </w:rPr>
        <w:t xml:space="preserve">List of M/C </w:t>
      </w:r>
      <w:r w:rsidR="002A31AF">
        <w:rPr>
          <w:sz w:val="24"/>
          <w:szCs w:val="24"/>
        </w:rPr>
        <w:t xml:space="preserve"> SETS </w:t>
      </w:r>
      <w:r w:rsidR="006D25AA" w:rsidRPr="00EF7C6F">
        <w:rPr>
          <w:sz w:val="24"/>
          <w:szCs w:val="24"/>
        </w:rPr>
        <w:t>(Annexure-II)</w:t>
      </w:r>
      <w:r w:rsidR="000C7459">
        <w:rPr>
          <w:sz w:val="24"/>
          <w:szCs w:val="24"/>
        </w:rPr>
        <w:t xml:space="preserve"> </w:t>
      </w:r>
      <w:r w:rsidR="006D25AA">
        <w:rPr>
          <w:sz w:val="24"/>
          <w:szCs w:val="24"/>
        </w:rPr>
        <w:t>Schedule of rates(Annexure-III)</w:t>
      </w:r>
      <w:r w:rsidR="006D25AA" w:rsidRPr="00EF7C6F">
        <w:rPr>
          <w:sz w:val="24"/>
          <w:szCs w:val="24"/>
        </w:rPr>
        <w:t>General terms &amp; condition (Annexure I</w:t>
      </w:r>
      <w:r w:rsidR="006D25AA">
        <w:rPr>
          <w:sz w:val="24"/>
          <w:szCs w:val="24"/>
        </w:rPr>
        <w:t>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Pr="00464F08">
        <w:rPr>
          <w:rFonts w:cs="Times New Roman"/>
          <w:b/>
          <w:bCs/>
          <w:sz w:val="24"/>
          <w:szCs w:val="24"/>
        </w:rPr>
        <w:t>:</w:t>
      </w:r>
      <w:r w:rsidR="00DD2B0B">
        <w:rPr>
          <w:rFonts w:cs="Times New Roman"/>
          <w:b/>
          <w:bCs/>
          <w:sz w:val="24"/>
          <w:szCs w:val="24"/>
        </w:rPr>
        <w:t xml:space="preserve"> </w:t>
      </w:r>
      <w:r w:rsidR="007841FA">
        <w:rPr>
          <w:rFonts w:cs="Times New Roman"/>
          <w:b/>
          <w:bCs/>
          <w:sz w:val="24"/>
          <w:szCs w:val="24"/>
        </w:rPr>
        <w:t>05</w:t>
      </w:r>
      <w:r w:rsidR="00446BF6">
        <w:rPr>
          <w:rFonts w:cs="Times New Roman"/>
          <w:b/>
          <w:bCs/>
          <w:sz w:val="24"/>
          <w:szCs w:val="24"/>
        </w:rPr>
        <w:t>/02</w:t>
      </w:r>
      <w:r w:rsidR="00464F08" w:rsidRPr="00464F08">
        <w:rPr>
          <w:rFonts w:cs="Times New Roman"/>
          <w:b/>
          <w:bCs/>
          <w:sz w:val="24"/>
          <w:szCs w:val="24"/>
        </w:rPr>
        <w:t>/</w:t>
      </w:r>
      <w:proofErr w:type="gramStart"/>
      <w:r w:rsidR="00464F08" w:rsidRPr="00464F08">
        <w:rPr>
          <w:rFonts w:cs="Times New Roman"/>
          <w:b/>
          <w:bCs/>
          <w:sz w:val="24"/>
          <w:szCs w:val="24"/>
        </w:rPr>
        <w:t>2020</w:t>
      </w:r>
      <w:r w:rsidR="00687EB6" w:rsidRPr="006711A0">
        <w:rPr>
          <w:rFonts w:cs="Times New Roman"/>
          <w:sz w:val="24"/>
          <w:szCs w:val="24"/>
        </w:rPr>
        <w:t xml:space="preserve"> </w:t>
      </w:r>
      <w:r w:rsidRPr="006711A0">
        <w:rPr>
          <w:rFonts w:cs="Times New Roman"/>
          <w:sz w:val="24"/>
          <w:szCs w:val="24"/>
        </w:rPr>
        <w:t xml:space="preserve"> up</w:t>
      </w:r>
      <w:proofErr w:type="gramEnd"/>
      <w:r w:rsidRPr="006711A0">
        <w:rPr>
          <w:rFonts w:cs="Times New Roman"/>
          <w:sz w:val="24"/>
          <w:szCs w:val="24"/>
        </w:rPr>
        <w:t xml:space="preserve">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xml:space="preserve">) available in Tender room at Ground Floor, Administrative Building </w:t>
      </w:r>
      <w:bookmarkStart w:id="0" w:name="_GoBack"/>
      <w:bookmarkEnd w:id="0"/>
      <w:r w:rsidRPr="006711A0">
        <w:rPr>
          <w:rFonts w:cs="Times New Roman"/>
          <w:sz w:val="24"/>
          <w:szCs w:val="24"/>
        </w:rPr>
        <w:t>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4A114B" w:rsidRPr="006711A0">
        <w:rPr>
          <w:rFonts w:cs="Times New Roman"/>
          <w:sz w:val="24"/>
          <w:szCs w:val="24"/>
        </w:rPr>
        <w:t>-</w:t>
      </w:r>
      <w:r w:rsidR="007841FA">
        <w:rPr>
          <w:rFonts w:cs="Times New Roman"/>
          <w:b/>
          <w:bCs/>
          <w:sz w:val="24"/>
          <w:szCs w:val="24"/>
        </w:rPr>
        <w:t>05</w:t>
      </w:r>
      <w:r w:rsidR="00446BF6">
        <w:rPr>
          <w:rFonts w:cs="Times New Roman"/>
          <w:b/>
          <w:bCs/>
          <w:sz w:val="24"/>
          <w:szCs w:val="24"/>
        </w:rPr>
        <w:t>/02</w:t>
      </w:r>
      <w:r w:rsidR="00BE5247" w:rsidRPr="00464F08">
        <w:rPr>
          <w:rFonts w:cs="Times New Roman"/>
          <w:b/>
          <w:bCs/>
          <w:sz w:val="24"/>
          <w:szCs w:val="24"/>
        </w:rPr>
        <w:t>/</w:t>
      </w:r>
      <w:proofErr w:type="gramStart"/>
      <w:r w:rsidR="00BE5247" w:rsidRPr="00464F08">
        <w:rPr>
          <w:rFonts w:cs="Times New Roman"/>
          <w:b/>
          <w:bCs/>
          <w:sz w:val="24"/>
          <w:szCs w:val="24"/>
        </w:rPr>
        <w:t>2020</w:t>
      </w:r>
      <w:r w:rsidR="00BE5247" w:rsidRPr="006711A0">
        <w:rPr>
          <w:rFonts w:cs="Times New Roman"/>
          <w:sz w:val="24"/>
          <w:szCs w:val="24"/>
        </w:rPr>
        <w:t xml:space="preserve">  </w:t>
      </w:r>
      <w:r w:rsidR="004A114B" w:rsidRPr="006711A0">
        <w:rPr>
          <w:rFonts w:cs="Times New Roman"/>
          <w:sz w:val="24"/>
          <w:szCs w:val="24"/>
        </w:rPr>
        <w:t>--</w:t>
      </w:r>
      <w:proofErr w:type="gramEnd"/>
      <w:r w:rsidRPr="006711A0">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A1310F" w:rsidRDefault="009F1653" w:rsidP="0062350A">
      <w:pPr>
        <w:jc w:val="both"/>
        <w:rPr>
          <w:rFonts w:cs="Times New Roman"/>
          <w:sz w:val="24"/>
          <w:szCs w:val="24"/>
        </w:rPr>
      </w:pPr>
      <w:r w:rsidRPr="006711A0">
        <w:rPr>
          <w:rFonts w:cs="Times New Roman"/>
          <w:b/>
          <w:bCs/>
          <w:sz w:val="24"/>
          <w:szCs w:val="24"/>
        </w:rPr>
        <w:t>4)</w:t>
      </w:r>
      <w:r w:rsidRPr="006711A0">
        <w:rPr>
          <w:rFonts w:cs="Times New Roman"/>
          <w:sz w:val="24"/>
          <w:szCs w:val="24"/>
        </w:rPr>
        <w:t xml:space="preserve"> Scope of work: </w:t>
      </w:r>
      <w:r w:rsidR="0012217C" w:rsidRPr="00133840">
        <w:rPr>
          <w:b/>
          <w:noProof/>
          <w:sz w:val="24"/>
          <w:szCs w:val="24"/>
        </w:rPr>
        <w:t xml:space="preserve"> </w:t>
      </w:r>
      <w:r w:rsidR="0012217C" w:rsidRPr="00133840">
        <w:rPr>
          <w:sz w:val="24"/>
          <w:szCs w:val="24"/>
        </w:rPr>
        <w:t xml:space="preserve">Preventive/Breakdown </w:t>
      </w:r>
      <w:r w:rsidR="0012217C" w:rsidRPr="00133840">
        <w:rPr>
          <w:snapToGrid w:val="0"/>
          <w:sz w:val="24"/>
          <w:szCs w:val="24"/>
        </w:rPr>
        <w:t xml:space="preserve">Maintenance </w:t>
      </w:r>
      <w:proofErr w:type="gramStart"/>
      <w:r w:rsidR="0012217C" w:rsidRPr="00133840">
        <w:rPr>
          <w:snapToGrid w:val="0"/>
          <w:sz w:val="24"/>
          <w:szCs w:val="24"/>
        </w:rPr>
        <w:t xml:space="preserve">of </w:t>
      </w:r>
      <w:r w:rsidR="0012217C">
        <w:rPr>
          <w:snapToGrid w:val="0"/>
          <w:sz w:val="24"/>
          <w:szCs w:val="24"/>
        </w:rPr>
        <w:t xml:space="preserve"> M</w:t>
      </w:r>
      <w:proofErr w:type="gramEnd"/>
      <w:r w:rsidR="0012217C">
        <w:rPr>
          <w:snapToGrid w:val="0"/>
          <w:sz w:val="24"/>
          <w:szCs w:val="24"/>
        </w:rPr>
        <w:t>/C tools and plants in TCB and UHV TRM BLIII</w:t>
      </w:r>
      <w:r w:rsidR="003D2823" w:rsidRPr="006711A0">
        <w:rPr>
          <w:rFonts w:cs="Times New Roman"/>
          <w:sz w:val="24"/>
          <w:szCs w:val="24"/>
        </w:rPr>
        <w:t xml:space="preserve"> </w:t>
      </w:r>
      <w:r w:rsidR="002A31AF">
        <w:rPr>
          <w:snapToGrid w:val="0"/>
          <w:sz w:val="24"/>
          <w:szCs w:val="24"/>
        </w:rPr>
        <w:t xml:space="preserve">as per </w:t>
      </w:r>
      <w:r w:rsidR="002A31AF" w:rsidRPr="00EF7C6F">
        <w:rPr>
          <w:sz w:val="24"/>
          <w:szCs w:val="24"/>
        </w:rPr>
        <w:t xml:space="preserve">as per Annexure – I (scope of work),  </w:t>
      </w:r>
      <w:r w:rsidR="0012217C">
        <w:rPr>
          <w:sz w:val="24"/>
          <w:szCs w:val="24"/>
        </w:rPr>
        <w:t>List of M/C</w:t>
      </w:r>
      <w:r w:rsidR="002A31AF">
        <w:rPr>
          <w:sz w:val="24"/>
          <w:szCs w:val="24"/>
        </w:rPr>
        <w:t xml:space="preserve"> SETS </w:t>
      </w:r>
      <w:r w:rsidR="002A31AF" w:rsidRPr="00EF7C6F">
        <w:rPr>
          <w:sz w:val="24"/>
          <w:szCs w:val="24"/>
        </w:rPr>
        <w:t>(Annexure-II</w:t>
      </w:r>
      <w:r w:rsidR="0012217C">
        <w:rPr>
          <w:sz w:val="24"/>
          <w:szCs w:val="24"/>
        </w:rPr>
        <w:t xml:space="preserve">). Total </w:t>
      </w:r>
      <w:proofErr w:type="spellStart"/>
      <w:r w:rsidR="0012217C">
        <w:rPr>
          <w:sz w:val="24"/>
          <w:szCs w:val="24"/>
        </w:rPr>
        <w:t>Nos</w:t>
      </w:r>
      <w:proofErr w:type="spellEnd"/>
      <w:r w:rsidR="0012217C">
        <w:rPr>
          <w:sz w:val="24"/>
          <w:szCs w:val="24"/>
        </w:rPr>
        <w:t xml:space="preserve"> of PM in a year=190</w:t>
      </w:r>
      <w:r w:rsidR="00B3400B">
        <w:rPr>
          <w:sz w:val="24"/>
          <w:szCs w:val="24"/>
        </w:rPr>
        <w:t>.</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CA7F44">
        <w:rPr>
          <w:rFonts w:ascii="Times New Roman" w:hAnsi="Times New Roman" w:cs="Times New Roman"/>
          <w:b/>
          <w:bCs/>
        </w:rPr>
        <w:t>70025</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proofErr w:type="gramStart"/>
      <w:r w:rsidRPr="006711A0">
        <w:rPr>
          <w:rFonts w:cs="Times New Roman"/>
          <w:bCs/>
          <w:sz w:val="24"/>
          <w:szCs w:val="24"/>
        </w:rPr>
        <w:t>)</w:t>
      </w:r>
      <w:r w:rsidR="00B224B0" w:rsidRPr="006711A0">
        <w:rPr>
          <w:rFonts w:cs="Times New Roman"/>
          <w:bCs/>
          <w:sz w:val="24"/>
          <w:szCs w:val="24"/>
        </w:rPr>
        <w:t>The</w:t>
      </w:r>
      <w:proofErr w:type="gramEnd"/>
      <w:r w:rsidR="00B224B0" w:rsidRPr="006711A0">
        <w:rPr>
          <w:rFonts w:cs="Times New Roman"/>
          <w:bCs/>
          <w:sz w:val="24"/>
          <w:szCs w:val="24"/>
        </w:rPr>
        <w:t xml:space="preserve"> EMD shall be accepted in e-Mode (NEFT/RTGS/Net-banking/POS/SB COLLECT etc.) The online receipt shall be enclosed along with the techno-commercial bid. For NEFT/RTGS payment, refer bank details as per </w:t>
      </w:r>
      <w:proofErr w:type="gramStart"/>
      <w:r w:rsidR="00B224B0" w:rsidRPr="006711A0">
        <w:rPr>
          <w:rFonts w:cs="Times New Roman"/>
          <w:bCs/>
          <w:sz w:val="24"/>
          <w:szCs w:val="24"/>
        </w:rPr>
        <w:t>Annexure ”</w:t>
      </w:r>
      <w:proofErr w:type="gramEnd"/>
      <w:r w:rsidR="00B224B0" w:rsidRPr="006711A0">
        <w:rPr>
          <w:rFonts w:cs="Times New Roman"/>
          <w:bCs/>
          <w:sz w:val="24"/>
          <w:szCs w:val="24"/>
        </w:rPr>
        <w:t>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 xml:space="preserve">“Online e-payment” facility through SB-collect is available on intranet </w:t>
      </w:r>
      <w:r w:rsidRPr="006711A0">
        <w:rPr>
          <w:rFonts w:cs="Times New Roman"/>
          <w:bCs/>
          <w:sz w:val="24"/>
          <w:szCs w:val="24"/>
        </w:rPr>
        <w:lastRenderedPageBreak/>
        <w:t>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proofErr w:type="gramStart"/>
      <w:r w:rsidRPr="006711A0">
        <w:rPr>
          <w:rFonts w:cs="Times New Roman"/>
          <w:bCs/>
          <w:sz w:val="24"/>
          <w:szCs w:val="24"/>
        </w:rPr>
        <w:t>general</w:t>
      </w:r>
      <w:proofErr w:type="gramEnd"/>
      <w:r w:rsidRPr="006711A0">
        <w:rPr>
          <w:rFonts w:cs="Times New Roman"/>
          <w:bCs/>
          <w:sz w:val="24"/>
          <w:szCs w:val="24"/>
        </w:rPr>
        <w:t xml:space="preserve"> information relating to procedure for depositing amount is available</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number 2 and 3. In addition to above for specific query related to</w:t>
      </w:r>
    </w:p>
    <w:p w:rsidR="00B224B0" w:rsidRPr="006711A0" w:rsidRDefault="00B224B0" w:rsidP="00B224B0">
      <w:pPr>
        <w:rPr>
          <w:rFonts w:cs="Times New Roman"/>
          <w:bCs/>
          <w:sz w:val="24"/>
          <w:szCs w:val="24"/>
        </w:rPr>
      </w:pPr>
      <w:proofErr w:type="gramStart"/>
      <w:r w:rsidRPr="006711A0">
        <w:rPr>
          <w:rFonts w:cs="Times New Roman"/>
          <w:bCs/>
          <w:sz w:val="24"/>
          <w:szCs w:val="24"/>
        </w:rPr>
        <w:t>type</w:t>
      </w:r>
      <w:proofErr w:type="gramEnd"/>
      <w:r w:rsidRPr="006711A0">
        <w:rPr>
          <w:rFonts w:cs="Times New Roman"/>
          <w:bCs/>
          <w:sz w:val="24"/>
          <w:szCs w:val="24"/>
        </w:rPr>
        <w:t xml:space="preserve"> of deposit, demo with the template is also on respective page mentioned</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proofErr w:type="gramStart"/>
      <w:r w:rsidRPr="006711A0">
        <w:rPr>
          <w:rFonts w:cs="Times New Roman"/>
          <w:bCs/>
          <w:sz w:val="24"/>
          <w:szCs w:val="24"/>
        </w:rPr>
        <w:t>(iv) Now</w:t>
      </w:r>
      <w:proofErr w:type="gramEnd"/>
      <w:r w:rsidRPr="006711A0">
        <w:rPr>
          <w:rFonts w:cs="Times New Roman"/>
          <w:bCs/>
          <w:sz w:val="24"/>
          <w:szCs w:val="24"/>
        </w:rPr>
        <w:t xml:space="preserve">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 xml:space="preserve">Tender received without remittance of </w:t>
      </w:r>
      <w:proofErr w:type="gramStart"/>
      <w:r w:rsidR="00C267CB" w:rsidRPr="006711A0">
        <w:rPr>
          <w:rFonts w:ascii="Times New Roman" w:hAnsi="Times New Roman" w:cs="Times New Roman"/>
          <w:b/>
          <w:bCs/>
        </w:rPr>
        <w:t>EMD  will</w:t>
      </w:r>
      <w:proofErr w:type="gramEnd"/>
      <w:r w:rsidR="00C267CB" w:rsidRPr="006711A0">
        <w:rPr>
          <w:rFonts w:ascii="Times New Roman" w:hAnsi="Times New Roman" w:cs="Times New Roman"/>
          <w:b/>
          <w:bCs/>
        </w:rPr>
        <w:t xml:space="preserve">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proofErr w:type="gramStart"/>
      <w:r w:rsidRPr="006711A0">
        <w:rPr>
          <w:rFonts w:ascii="Times New Roman" w:hAnsi="Times New Roman" w:cs="Times New Roman"/>
          <w:b/>
          <w:bCs/>
        </w:rPr>
        <w:t>8.</w:t>
      </w:r>
      <w:r w:rsidR="004F33B9" w:rsidRPr="006711A0">
        <w:rPr>
          <w:rFonts w:ascii="Times New Roman" w:hAnsi="Times New Roman" w:cs="Times New Roman"/>
          <w:b/>
          <w:bCs/>
        </w:rPr>
        <w:t>SECURITY</w:t>
      </w:r>
      <w:proofErr w:type="gramEnd"/>
      <w:r w:rsidR="004F33B9" w:rsidRPr="006711A0">
        <w:rPr>
          <w:rFonts w:ascii="Times New Roman" w:hAnsi="Times New Roman" w:cs="Times New Roman"/>
          <w:b/>
          <w:bCs/>
        </w:rPr>
        <w:t xml:space="preserve">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Electronic Fund Transfer mode via following </w:t>
      </w:r>
      <w:proofErr w:type="gramStart"/>
      <w:r w:rsidRPr="006711A0">
        <w:rPr>
          <w:rFonts w:cs="Times New Roman"/>
          <w:sz w:val="24"/>
          <w:szCs w:val="24"/>
        </w:rPr>
        <w:t>link :</w:t>
      </w:r>
      <w:proofErr w:type="gramEnd"/>
      <w:r w:rsidRPr="006711A0">
        <w:rPr>
          <w:rFonts w:cs="Times New Roman"/>
          <w:sz w:val="24"/>
          <w:szCs w:val="24"/>
        </w:rPr>
        <w:t xml:space="preserve"> https://www.bhelbpl.co.in/qcins/iccs.htm</w:t>
      </w:r>
    </w:p>
    <w:p w:rsidR="00B224B0" w:rsidRPr="006711A0" w:rsidRDefault="00B224B0" w:rsidP="00B224B0">
      <w:pPr>
        <w:rPr>
          <w:rFonts w:cs="Times New Roman"/>
          <w:sz w:val="24"/>
          <w:szCs w:val="24"/>
        </w:rPr>
      </w:pPr>
      <w:r w:rsidRPr="006711A0">
        <w:rPr>
          <w:rFonts w:cs="Times New Roman"/>
          <w:sz w:val="24"/>
          <w:szCs w:val="24"/>
        </w:rPr>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proofErr w:type="gramStart"/>
      <w:r w:rsidRPr="006711A0">
        <w:rPr>
          <w:rFonts w:cs="Times New Roman"/>
          <w:sz w:val="24"/>
          <w:szCs w:val="24"/>
        </w:rPr>
        <w:t>a/c</w:t>
      </w:r>
      <w:proofErr w:type="gramEnd"/>
      <w:r w:rsidRPr="006711A0">
        <w:rPr>
          <w:rFonts w:cs="Times New Roman"/>
          <w:sz w:val="24"/>
          <w:szCs w:val="24"/>
        </w:rPr>
        <w:t xml:space="preserve">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lastRenderedPageBreak/>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sidRPr="006711A0">
        <w:rPr>
          <w:rFonts w:ascii="Times New Roman" w:hAnsi="Times New Roman" w:cs="Times New Roman"/>
        </w:rPr>
        <w:t xml:space="preserve">Deposit  </w:t>
      </w:r>
      <w:r w:rsidRPr="006711A0">
        <w:rPr>
          <w:rFonts w:ascii="Times New Roman" w:hAnsi="Times New Roman" w:cs="Times New Roman"/>
          <w:color w:val="auto"/>
        </w:rPr>
        <w:t>is</w:t>
      </w:r>
      <w:proofErr w:type="gramEnd"/>
      <w:r w:rsidRPr="006711A0">
        <w:rPr>
          <w:rFonts w:ascii="Times New Roman" w:hAnsi="Times New Roman" w:cs="Times New Roman"/>
          <w:color w:val="auto"/>
        </w:rPr>
        <w:t xml:space="preserve">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Deposit before start of the work</w:t>
      </w:r>
      <w:proofErr w:type="gramStart"/>
      <w:r w:rsidRPr="006711A0">
        <w:rPr>
          <w:rFonts w:ascii="Times New Roman" w:hAnsi="Times New Roman" w:cs="Times New Roman"/>
          <w:color w:val="auto"/>
        </w:rPr>
        <w:t>..</w:t>
      </w:r>
      <w:proofErr w:type="gramEnd"/>
      <w:r w:rsidRPr="006711A0">
        <w:rPr>
          <w:rFonts w:ascii="Times New Roman" w:hAnsi="Times New Roman" w:cs="Times New Roman"/>
          <w:color w:val="auto"/>
        </w:rPr>
        <w:t xml:space="preserve"> </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582949" w:rsidRPr="006711A0">
        <w:rPr>
          <w:rFonts w:cs="Times New Roman"/>
          <w:sz w:val="24"/>
          <w:szCs w:val="24"/>
        </w:rPr>
        <w:t>, Schedule</w:t>
      </w:r>
      <w:r w:rsidR="00C267CB" w:rsidRPr="006711A0">
        <w:rPr>
          <w:rFonts w:cs="Times New Roman"/>
          <w:sz w:val="24"/>
          <w:szCs w:val="24"/>
        </w:rPr>
        <w:t xml:space="preserve"> of </w:t>
      </w:r>
      <w:r w:rsidR="00582949" w:rsidRPr="006711A0">
        <w:rPr>
          <w:rFonts w:cs="Times New Roman"/>
          <w:sz w:val="24"/>
          <w:szCs w:val="24"/>
        </w:rPr>
        <w:t>rates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proofErr w:type="gramStart"/>
      <w:r w:rsidR="00E245F8" w:rsidRPr="002E6C13">
        <w:rPr>
          <w:sz w:val="24"/>
          <w:szCs w:val="24"/>
        </w:rPr>
        <w:t>The</w:t>
      </w:r>
      <w:proofErr w:type="gramEnd"/>
      <w:r w:rsidR="00E245F8" w:rsidRPr="002E6C13">
        <w:rPr>
          <w:sz w:val="24"/>
          <w:szCs w:val="24"/>
        </w:rPr>
        <w:t xml:space="preserve"> working group for the above preventive and breakdown </w:t>
      </w:r>
      <w:r w:rsidR="00E245F8">
        <w:rPr>
          <w:sz w:val="24"/>
          <w:szCs w:val="24"/>
        </w:rPr>
        <w:t>maintenance activity should</w:t>
      </w:r>
    </w:p>
    <w:p w:rsidR="00E245F8" w:rsidRPr="00B0774B" w:rsidRDefault="00E245F8" w:rsidP="00E245F8">
      <w:pPr>
        <w:ind w:left="720" w:hanging="720"/>
        <w:jc w:val="both"/>
        <w:rPr>
          <w:b/>
          <w:bCs/>
          <w:sz w:val="24"/>
          <w:szCs w:val="24"/>
        </w:rPr>
      </w:pPr>
      <w:proofErr w:type="gramStart"/>
      <w:r w:rsidRPr="002E6C13">
        <w:rPr>
          <w:sz w:val="24"/>
          <w:szCs w:val="24"/>
        </w:rPr>
        <w:t>consists</w:t>
      </w:r>
      <w:proofErr w:type="gramEnd"/>
      <w:r w:rsidRPr="002E6C13">
        <w:rPr>
          <w:sz w:val="24"/>
          <w:szCs w:val="24"/>
        </w:rPr>
        <w:t xml:space="preserve"> of minimum manpower of </w:t>
      </w:r>
      <w:r w:rsidRPr="00B0774B">
        <w:rPr>
          <w:b/>
          <w:bCs/>
          <w:sz w:val="24"/>
          <w:szCs w:val="24"/>
        </w:rPr>
        <w:t>skilled workers(</w:t>
      </w:r>
      <w:r w:rsidR="00EC389C">
        <w:rPr>
          <w:b/>
          <w:bCs/>
          <w:sz w:val="24"/>
          <w:szCs w:val="24"/>
        </w:rPr>
        <w:t xml:space="preserve">11 </w:t>
      </w:r>
      <w:proofErr w:type="spellStart"/>
      <w:r w:rsidRPr="00B0774B">
        <w:rPr>
          <w:b/>
          <w:bCs/>
          <w:sz w:val="24"/>
          <w:szCs w:val="24"/>
        </w:rPr>
        <w:t>nos</w:t>
      </w:r>
      <w:proofErr w:type="spellEnd"/>
      <w:r w:rsidRPr="00B0774B">
        <w:rPr>
          <w:b/>
          <w:bCs/>
          <w:sz w:val="24"/>
          <w:szCs w:val="24"/>
        </w:rPr>
        <w:t>)</w:t>
      </w:r>
      <w:r w:rsidR="00EC389C">
        <w:rPr>
          <w:b/>
          <w:bCs/>
          <w:sz w:val="24"/>
          <w:szCs w:val="24"/>
        </w:rPr>
        <w:t xml:space="preserve"> , 01</w:t>
      </w:r>
      <w:r w:rsidR="00B0774B" w:rsidRPr="00B0774B">
        <w:rPr>
          <w:b/>
          <w:bCs/>
          <w:sz w:val="24"/>
          <w:szCs w:val="24"/>
        </w:rPr>
        <w:t xml:space="preserve"> </w:t>
      </w:r>
      <w:proofErr w:type="spellStart"/>
      <w:r w:rsidR="00B0774B" w:rsidRPr="00B0774B">
        <w:rPr>
          <w:b/>
          <w:bCs/>
          <w:sz w:val="24"/>
          <w:szCs w:val="24"/>
        </w:rPr>
        <w:t>Nos</w:t>
      </w:r>
      <w:proofErr w:type="spellEnd"/>
      <w:r w:rsidR="00B0774B" w:rsidRPr="00B0774B">
        <w:rPr>
          <w:b/>
          <w:bCs/>
          <w:sz w:val="24"/>
          <w:szCs w:val="24"/>
        </w:rPr>
        <w:t xml:space="preserve"> Semiskilled </w:t>
      </w:r>
      <w:r w:rsidRPr="00B0774B">
        <w:rPr>
          <w:b/>
          <w:bCs/>
          <w:sz w:val="24"/>
          <w:szCs w:val="24"/>
        </w:rPr>
        <w:t xml:space="preserve"> and unskilled workers(0</w:t>
      </w:r>
      <w:r w:rsidR="00EC389C">
        <w:rPr>
          <w:b/>
          <w:bCs/>
          <w:sz w:val="24"/>
          <w:szCs w:val="24"/>
        </w:rPr>
        <w:t>8</w:t>
      </w:r>
      <w:r w:rsidRPr="00B0774B">
        <w:rPr>
          <w:b/>
          <w:bCs/>
          <w:sz w:val="24"/>
          <w:szCs w:val="24"/>
        </w:rPr>
        <w:t xml:space="preserve"> </w:t>
      </w:r>
      <w:proofErr w:type="spellStart"/>
      <w:r w:rsidRPr="00B0774B">
        <w:rPr>
          <w:b/>
          <w:bCs/>
          <w:sz w:val="24"/>
          <w:szCs w:val="24"/>
        </w:rPr>
        <w:t>nos</w:t>
      </w:r>
      <w:proofErr w:type="spellEnd"/>
      <w:r w:rsidRPr="00B0774B">
        <w:rPr>
          <w:b/>
          <w:bCs/>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Pr="00133840">
        <w:rPr>
          <w:snapToGrid w:val="0"/>
          <w:sz w:val="24"/>
          <w:szCs w:val="24"/>
        </w:rPr>
        <w:t xml:space="preserve">Maintenance of vacuum </w:t>
      </w:r>
      <w:proofErr w:type="gramStart"/>
      <w:r w:rsidRPr="00133840">
        <w:rPr>
          <w:snapToGrid w:val="0"/>
          <w:sz w:val="24"/>
          <w:szCs w:val="24"/>
        </w:rPr>
        <w:t xml:space="preserve">plants </w:t>
      </w:r>
      <w:r>
        <w:rPr>
          <w:bCs/>
          <w:sz w:val="24"/>
          <w:szCs w:val="24"/>
        </w:rPr>
        <w:t>.</w:t>
      </w:r>
      <w:proofErr w:type="gramEnd"/>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r w:rsidR="009F1653" w:rsidRPr="006711A0">
        <w:rPr>
          <w:rFonts w:cs="Times New Roman"/>
          <w:sz w:val="24"/>
          <w:szCs w:val="24"/>
        </w:rPr>
        <w:t xml:space="preserve">The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31st march </w:t>
      </w:r>
      <w:r w:rsidR="00FB59BD">
        <w:rPr>
          <w:rFonts w:cs="Times New Roman"/>
          <w:bCs/>
          <w:sz w:val="24"/>
          <w:szCs w:val="24"/>
        </w:rPr>
        <w:t xml:space="preserve">of previous </w:t>
      </w:r>
      <w:proofErr w:type="gramStart"/>
      <w:r w:rsidR="00FB59BD">
        <w:rPr>
          <w:rFonts w:cs="Times New Roman"/>
          <w:bCs/>
          <w:sz w:val="24"/>
          <w:szCs w:val="24"/>
        </w:rPr>
        <w:t xml:space="preserve">year </w:t>
      </w:r>
      <w:r w:rsidRPr="006711A0">
        <w:rPr>
          <w:rFonts w:cs="Times New Roman"/>
          <w:bCs/>
          <w:sz w:val="24"/>
          <w:szCs w:val="24"/>
        </w:rPr>
        <w:t>,</w:t>
      </w:r>
      <w:proofErr w:type="gramEnd"/>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2E1B38">
        <w:rPr>
          <w:rFonts w:cs="Times New Roman"/>
          <w:b/>
          <w:sz w:val="24"/>
          <w:szCs w:val="24"/>
        </w:rPr>
        <w:t xml:space="preserve">  10.50</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A55B62" w:rsidRPr="006711A0">
        <w:rPr>
          <w:rFonts w:cs="Times New Roman"/>
          <w:bCs/>
          <w:sz w:val="24"/>
          <w:szCs w:val="24"/>
        </w:rPr>
        <w:t>uring last seven years ending (</w:t>
      </w:r>
      <w:r w:rsidR="00FB59BD">
        <w:rPr>
          <w:rFonts w:cs="Times New Roman"/>
          <w:bCs/>
          <w:sz w:val="24"/>
          <w:szCs w:val="24"/>
        </w:rPr>
        <w:t>31/12/</w:t>
      </w:r>
      <w:r w:rsidRPr="006711A0">
        <w:rPr>
          <w:rFonts w:cs="Times New Roman"/>
          <w:bCs/>
          <w:sz w:val="24"/>
          <w:szCs w:val="24"/>
        </w:rPr>
        <w:t>2019) previous to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proofErr w:type="gramStart"/>
      <w:r w:rsidR="002E1B38">
        <w:rPr>
          <w:rFonts w:cs="Times New Roman"/>
          <w:b/>
          <w:sz w:val="24"/>
          <w:szCs w:val="24"/>
        </w:rPr>
        <w:t xml:space="preserve">28.00 </w:t>
      </w:r>
      <w:r w:rsidRPr="00C63FB7">
        <w:rPr>
          <w:rFonts w:cs="Times New Roman"/>
          <w:b/>
          <w:sz w:val="24"/>
          <w:szCs w:val="24"/>
        </w:rPr>
        <w:t xml:space="preserve"> </w:t>
      </w:r>
      <w:proofErr w:type="spellStart"/>
      <w:r w:rsidRPr="00C63FB7">
        <w:rPr>
          <w:rFonts w:cs="Times New Roman"/>
          <w:b/>
          <w:sz w:val="24"/>
          <w:szCs w:val="24"/>
        </w:rPr>
        <w:t>lacs</w:t>
      </w:r>
      <w:proofErr w:type="spellEnd"/>
      <w:proofErr w:type="gram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2E1B38">
        <w:rPr>
          <w:rFonts w:cs="Times New Roman"/>
          <w:b/>
          <w:sz w:val="24"/>
          <w:szCs w:val="24"/>
        </w:rPr>
        <w:t>17.50</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Pr="006711A0"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00666F4C">
        <w:rPr>
          <w:rFonts w:cs="Times New Roman"/>
          <w:bCs/>
          <w:sz w:val="24"/>
          <w:szCs w:val="24"/>
        </w:rPr>
        <w:t xml:space="preserve"> of the contract value Rs.</w:t>
      </w:r>
      <w:r w:rsidR="00666F4C" w:rsidRPr="00666F4C">
        <w:rPr>
          <w:rFonts w:cs="Times New Roman"/>
          <w:b/>
          <w:sz w:val="24"/>
          <w:szCs w:val="24"/>
        </w:rPr>
        <w:t>14.00</w:t>
      </w:r>
      <w:r w:rsidR="00E849A3">
        <w:rPr>
          <w:rFonts w:cs="Times New Roman"/>
          <w:b/>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022BDF" w:rsidRPr="00100D4A">
        <w:rPr>
          <w:b/>
          <w:bCs/>
        </w:rPr>
        <w:t xml:space="preserve">: </w:t>
      </w:r>
      <w:r w:rsidR="00715C05">
        <w:rPr>
          <w:b/>
          <w:bCs/>
        </w:rPr>
        <w:t xml:space="preserve">Annual Maintenance </w:t>
      </w:r>
      <w:proofErr w:type="gramStart"/>
      <w:r w:rsidR="00715C05">
        <w:rPr>
          <w:b/>
          <w:bCs/>
        </w:rPr>
        <w:t xml:space="preserve">Contract  </w:t>
      </w:r>
      <w:r w:rsidR="00F235A4" w:rsidRPr="00133840">
        <w:rPr>
          <w:sz w:val="24"/>
          <w:szCs w:val="24"/>
        </w:rPr>
        <w:t>Preventive</w:t>
      </w:r>
      <w:proofErr w:type="gramEnd"/>
      <w:r w:rsidR="00F235A4" w:rsidRPr="00133840">
        <w:rPr>
          <w:sz w:val="24"/>
          <w:szCs w:val="24"/>
        </w:rPr>
        <w:t xml:space="preserve">/Breakdown </w:t>
      </w:r>
      <w:r w:rsidR="00F235A4" w:rsidRPr="00133840">
        <w:rPr>
          <w:snapToGrid w:val="0"/>
          <w:sz w:val="24"/>
          <w:szCs w:val="24"/>
        </w:rPr>
        <w:t xml:space="preserve">Maintenance of </w:t>
      </w:r>
      <w:r w:rsidR="00F235A4">
        <w:rPr>
          <w:snapToGrid w:val="0"/>
          <w:sz w:val="24"/>
          <w:szCs w:val="24"/>
        </w:rPr>
        <w:t xml:space="preserve"> M/C tools including CNC M/C or (m/c tools including plants) in each of the contract or more in central </w:t>
      </w:r>
      <w:proofErr w:type="spellStart"/>
      <w:r w:rsidR="00F235A4">
        <w:rPr>
          <w:snapToGrid w:val="0"/>
          <w:sz w:val="24"/>
          <w:szCs w:val="24"/>
        </w:rPr>
        <w:t>Govt</w:t>
      </w:r>
      <w:proofErr w:type="spellEnd"/>
      <w:r w:rsidR="00F235A4">
        <w:rPr>
          <w:snapToGrid w:val="0"/>
          <w:sz w:val="24"/>
          <w:szCs w:val="24"/>
        </w:rPr>
        <w:t xml:space="preserve"> /PSU/STATE government /Semi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Date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them .</w:t>
      </w:r>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Pr>
          <w:rFonts w:cs="Times New Roman"/>
          <w:bCs/>
          <w:sz w:val="24"/>
          <w:szCs w:val="24"/>
        </w:rPr>
        <w:t xml:space="preserve"> of contract value.</w:t>
      </w:r>
      <w:r w:rsidRPr="00A7001A">
        <w:rPr>
          <w:rFonts w:cs="Times New Roman"/>
          <w:bCs/>
          <w:sz w:val="24"/>
          <w:szCs w:val="24"/>
        </w:rPr>
        <w:t>.</w:t>
      </w:r>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1D2F09" w:rsidRDefault="001D2F09" w:rsidP="00795219">
      <w:pPr>
        <w:jc w:val="both"/>
        <w:rPr>
          <w:rFonts w:cs="Times New Roman"/>
          <w:bCs/>
          <w:sz w:val="24"/>
          <w:szCs w:val="24"/>
        </w:rPr>
      </w:pPr>
    </w:p>
    <w:p w:rsidR="009D3666" w:rsidRDefault="00A83CA1" w:rsidP="00795219">
      <w:pPr>
        <w:jc w:val="both"/>
        <w:rPr>
          <w:rFonts w:cs="Times New Roman"/>
          <w:bCs/>
          <w:sz w:val="24"/>
          <w:szCs w:val="24"/>
        </w:rPr>
      </w:pPr>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 will be deducted from the bills as applicable.</w:t>
      </w:r>
    </w:p>
    <w:p w:rsidR="001D2F09" w:rsidRDefault="001D2F09" w:rsidP="00795219">
      <w:pPr>
        <w:jc w:val="both"/>
        <w:rPr>
          <w:rFonts w:cs="Times New Roman"/>
          <w:bCs/>
          <w:sz w:val="24"/>
          <w:szCs w:val="24"/>
        </w:rPr>
      </w:pPr>
    </w:p>
    <w:p w:rsidR="001D2F09" w:rsidRPr="006711A0" w:rsidRDefault="00A83CA1" w:rsidP="00795219">
      <w:pPr>
        <w:jc w:val="both"/>
        <w:rPr>
          <w:rFonts w:cs="Times New Roman"/>
          <w:b/>
          <w:bCs/>
          <w:sz w:val="24"/>
          <w:szCs w:val="24"/>
        </w:rPr>
      </w:pPr>
      <w:r>
        <w:rPr>
          <w:rFonts w:cs="Times New Roman"/>
          <w:bCs/>
          <w:sz w:val="24"/>
          <w:szCs w:val="24"/>
        </w:rPr>
        <w:t>v</w:t>
      </w:r>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6711A0" w:rsidRDefault="00A01126" w:rsidP="004F33B9">
      <w:pPr>
        <w:jc w:val="both"/>
        <w:rPr>
          <w:rFonts w:cs="Times New Roman"/>
          <w:sz w:val="24"/>
          <w:szCs w:val="24"/>
        </w:rPr>
      </w:pPr>
      <w:r w:rsidRPr="006711A0">
        <w:rPr>
          <w:rFonts w:cs="Times New Roman"/>
          <w:sz w:val="24"/>
          <w:szCs w:val="24"/>
        </w:rPr>
        <w:t xml:space="preserve">  e) </w:t>
      </w:r>
      <w:r w:rsidR="009F1653" w:rsidRPr="006711A0">
        <w:rPr>
          <w:rFonts w:cs="Times New Roman"/>
          <w:sz w:val="24"/>
          <w:szCs w:val="24"/>
        </w:rPr>
        <w:t xml:space="preserve">In case of contractor absconding from the work, BHEL reserves all rights to get the </w:t>
      </w:r>
      <w:r w:rsidR="00582949" w:rsidRPr="006711A0">
        <w:rPr>
          <w:rFonts w:cs="Times New Roman"/>
          <w:sz w:val="24"/>
          <w:szCs w:val="24"/>
        </w:rPr>
        <w:t>unfinished work</w:t>
      </w:r>
      <w:r w:rsidR="009F1653" w:rsidRPr="006711A0">
        <w:rPr>
          <w:rFonts w:cs="Times New Roman"/>
          <w:sz w:val="24"/>
          <w:szCs w:val="24"/>
        </w:rPr>
        <w:t xml:space="preserve"> completed at the risk &amp; cost of contractors.</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r w:rsidRPr="006711A0">
        <w:rPr>
          <w:rFonts w:cs="Times New Roman"/>
          <w:sz w:val="24"/>
          <w:szCs w:val="24"/>
        </w:rPr>
        <w:t>ii.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lastRenderedPageBreak/>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Receipt of goods/services and tax invoice by BHEL and  Confirmation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Reverse Charge under GST</w:t>
      </w:r>
      <w:r w:rsidRPr="006711A0">
        <w:rPr>
          <w:rFonts w:cs="Times New Roman"/>
          <w:sz w:val="24"/>
          <w:szCs w:val="24"/>
          <w:lang w:val="en-IN" w:eastAsia="en-IN"/>
        </w:rPr>
        <w:t xml:space="preserve"> :</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lastRenderedPageBreak/>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lastRenderedPageBreak/>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r w:rsidRPr="006711A0">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r w:rsidRPr="006711A0">
        <w:rPr>
          <w:rFonts w:cs="Times New Roman"/>
          <w:sz w:val="24"/>
          <w:szCs w:val="24"/>
        </w:rPr>
        <w:t>vi).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sectPr w:rsidR="009F1653"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2F6" w:rsidRDefault="00DD32F6" w:rsidP="00026F9E">
      <w:r>
        <w:separator/>
      </w:r>
    </w:p>
  </w:endnote>
  <w:endnote w:type="continuationSeparator" w:id="0">
    <w:p w:rsidR="00DD32F6" w:rsidRDefault="00DD32F6"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DD32F6"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7841FA">
      <w:rPr>
        <w:rStyle w:val="PageNumber"/>
        <w:rFonts w:eastAsiaTheme="majorEastAsia"/>
        <w:noProof/>
      </w:rPr>
      <w:t>8</w:t>
    </w:r>
    <w:r>
      <w:rPr>
        <w:rStyle w:val="PageNumber"/>
        <w:rFonts w:eastAsiaTheme="majorEastAsia"/>
      </w:rPr>
      <w:fldChar w:fldCharType="end"/>
    </w:r>
  </w:p>
  <w:p w:rsidR="000328F3" w:rsidRDefault="00DD32F6"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2F6" w:rsidRDefault="00DD32F6" w:rsidP="00026F9E">
      <w:r>
        <w:separator/>
      </w:r>
    </w:p>
  </w:footnote>
  <w:footnote w:type="continuationSeparator" w:id="0">
    <w:p w:rsidR="00DD32F6" w:rsidRDefault="00DD32F6"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215B0"/>
    <w:rsid w:val="00022BDF"/>
    <w:rsid w:val="00026F9E"/>
    <w:rsid w:val="000437F8"/>
    <w:rsid w:val="00073914"/>
    <w:rsid w:val="000A7CC0"/>
    <w:rsid w:val="000B08DB"/>
    <w:rsid w:val="000C7459"/>
    <w:rsid w:val="000E1262"/>
    <w:rsid w:val="000E38BE"/>
    <w:rsid w:val="000F7B80"/>
    <w:rsid w:val="0012217C"/>
    <w:rsid w:val="001242D3"/>
    <w:rsid w:val="001343EC"/>
    <w:rsid w:val="001409D0"/>
    <w:rsid w:val="00165016"/>
    <w:rsid w:val="00175428"/>
    <w:rsid w:val="001805E6"/>
    <w:rsid w:val="00194AD7"/>
    <w:rsid w:val="00197AAE"/>
    <w:rsid w:val="001B4B20"/>
    <w:rsid w:val="001C5AAA"/>
    <w:rsid w:val="001D2F09"/>
    <w:rsid w:val="002003D0"/>
    <w:rsid w:val="002417A6"/>
    <w:rsid w:val="00253136"/>
    <w:rsid w:val="00255E43"/>
    <w:rsid w:val="00260FE6"/>
    <w:rsid w:val="00261E39"/>
    <w:rsid w:val="0026295F"/>
    <w:rsid w:val="00264381"/>
    <w:rsid w:val="002669EF"/>
    <w:rsid w:val="00273166"/>
    <w:rsid w:val="00291519"/>
    <w:rsid w:val="002A31AF"/>
    <w:rsid w:val="002A734D"/>
    <w:rsid w:val="002B0833"/>
    <w:rsid w:val="002C53B0"/>
    <w:rsid w:val="002E1B38"/>
    <w:rsid w:val="002E6AEE"/>
    <w:rsid w:val="002F1D1D"/>
    <w:rsid w:val="002F2762"/>
    <w:rsid w:val="00303509"/>
    <w:rsid w:val="00307F31"/>
    <w:rsid w:val="00325680"/>
    <w:rsid w:val="00362C4B"/>
    <w:rsid w:val="00372FFC"/>
    <w:rsid w:val="00386EB2"/>
    <w:rsid w:val="003A6F45"/>
    <w:rsid w:val="003B6F4D"/>
    <w:rsid w:val="003D2823"/>
    <w:rsid w:val="003D2C1F"/>
    <w:rsid w:val="003D6310"/>
    <w:rsid w:val="003E615A"/>
    <w:rsid w:val="004010C1"/>
    <w:rsid w:val="00403302"/>
    <w:rsid w:val="00411F35"/>
    <w:rsid w:val="00412558"/>
    <w:rsid w:val="004131D0"/>
    <w:rsid w:val="00435C90"/>
    <w:rsid w:val="00442265"/>
    <w:rsid w:val="00446BF6"/>
    <w:rsid w:val="00447AEF"/>
    <w:rsid w:val="00464F08"/>
    <w:rsid w:val="004731E1"/>
    <w:rsid w:val="00474D50"/>
    <w:rsid w:val="00494897"/>
    <w:rsid w:val="004A114B"/>
    <w:rsid w:val="004A31F1"/>
    <w:rsid w:val="004B45FE"/>
    <w:rsid w:val="004E7DE4"/>
    <w:rsid w:val="004F33B9"/>
    <w:rsid w:val="0050410E"/>
    <w:rsid w:val="005267EC"/>
    <w:rsid w:val="00535EAA"/>
    <w:rsid w:val="00545058"/>
    <w:rsid w:val="00563092"/>
    <w:rsid w:val="00582949"/>
    <w:rsid w:val="00583180"/>
    <w:rsid w:val="00584380"/>
    <w:rsid w:val="00590781"/>
    <w:rsid w:val="005B11EE"/>
    <w:rsid w:val="005C1EF5"/>
    <w:rsid w:val="005C79FE"/>
    <w:rsid w:val="005D5D68"/>
    <w:rsid w:val="005E44E9"/>
    <w:rsid w:val="005E54A8"/>
    <w:rsid w:val="005E60A3"/>
    <w:rsid w:val="005F2268"/>
    <w:rsid w:val="005F2FA9"/>
    <w:rsid w:val="005F692E"/>
    <w:rsid w:val="00622877"/>
    <w:rsid w:val="0062350A"/>
    <w:rsid w:val="006242FE"/>
    <w:rsid w:val="00630815"/>
    <w:rsid w:val="00650FBC"/>
    <w:rsid w:val="00655C60"/>
    <w:rsid w:val="00663C84"/>
    <w:rsid w:val="0066695A"/>
    <w:rsid w:val="00666F4C"/>
    <w:rsid w:val="006711A0"/>
    <w:rsid w:val="00672073"/>
    <w:rsid w:val="00677D7D"/>
    <w:rsid w:val="0068097B"/>
    <w:rsid w:val="0068466B"/>
    <w:rsid w:val="00687EB6"/>
    <w:rsid w:val="00692C4C"/>
    <w:rsid w:val="006A4BA0"/>
    <w:rsid w:val="006B2C40"/>
    <w:rsid w:val="006B45B7"/>
    <w:rsid w:val="006D25AA"/>
    <w:rsid w:val="006D335B"/>
    <w:rsid w:val="006E2725"/>
    <w:rsid w:val="0071169A"/>
    <w:rsid w:val="00715C05"/>
    <w:rsid w:val="007209C6"/>
    <w:rsid w:val="007336A4"/>
    <w:rsid w:val="007425A7"/>
    <w:rsid w:val="007506E6"/>
    <w:rsid w:val="0075141E"/>
    <w:rsid w:val="007841FA"/>
    <w:rsid w:val="00787634"/>
    <w:rsid w:val="00792223"/>
    <w:rsid w:val="007930B6"/>
    <w:rsid w:val="00795219"/>
    <w:rsid w:val="007A1807"/>
    <w:rsid w:val="007C3740"/>
    <w:rsid w:val="007D499B"/>
    <w:rsid w:val="007D7295"/>
    <w:rsid w:val="007E02E8"/>
    <w:rsid w:val="007E4FB5"/>
    <w:rsid w:val="00802D91"/>
    <w:rsid w:val="00806B06"/>
    <w:rsid w:val="00811A15"/>
    <w:rsid w:val="00820E53"/>
    <w:rsid w:val="00834749"/>
    <w:rsid w:val="00837F02"/>
    <w:rsid w:val="00845922"/>
    <w:rsid w:val="0088507D"/>
    <w:rsid w:val="00886788"/>
    <w:rsid w:val="00895E10"/>
    <w:rsid w:val="00895F61"/>
    <w:rsid w:val="008C7356"/>
    <w:rsid w:val="008D00FB"/>
    <w:rsid w:val="008D56A9"/>
    <w:rsid w:val="008D6838"/>
    <w:rsid w:val="008F016F"/>
    <w:rsid w:val="008F18C3"/>
    <w:rsid w:val="00906420"/>
    <w:rsid w:val="00906C6C"/>
    <w:rsid w:val="00921EBA"/>
    <w:rsid w:val="00922791"/>
    <w:rsid w:val="00930A38"/>
    <w:rsid w:val="00932756"/>
    <w:rsid w:val="00991B7A"/>
    <w:rsid w:val="009B79A6"/>
    <w:rsid w:val="009D3666"/>
    <w:rsid w:val="009E0CF8"/>
    <w:rsid w:val="009F1653"/>
    <w:rsid w:val="00A01126"/>
    <w:rsid w:val="00A1310F"/>
    <w:rsid w:val="00A25082"/>
    <w:rsid w:val="00A42350"/>
    <w:rsid w:val="00A553EE"/>
    <w:rsid w:val="00A55B62"/>
    <w:rsid w:val="00A7001A"/>
    <w:rsid w:val="00A76060"/>
    <w:rsid w:val="00A80E60"/>
    <w:rsid w:val="00A83CA1"/>
    <w:rsid w:val="00A841E2"/>
    <w:rsid w:val="00A911D1"/>
    <w:rsid w:val="00A9691C"/>
    <w:rsid w:val="00AB171A"/>
    <w:rsid w:val="00AE487A"/>
    <w:rsid w:val="00AF402F"/>
    <w:rsid w:val="00B027AD"/>
    <w:rsid w:val="00B0774B"/>
    <w:rsid w:val="00B1786E"/>
    <w:rsid w:val="00B2146D"/>
    <w:rsid w:val="00B224B0"/>
    <w:rsid w:val="00B31829"/>
    <w:rsid w:val="00B3400B"/>
    <w:rsid w:val="00B41E0D"/>
    <w:rsid w:val="00B509D6"/>
    <w:rsid w:val="00B6399F"/>
    <w:rsid w:val="00B664DE"/>
    <w:rsid w:val="00B7764A"/>
    <w:rsid w:val="00B8360A"/>
    <w:rsid w:val="00B87C4C"/>
    <w:rsid w:val="00B9130D"/>
    <w:rsid w:val="00B9315A"/>
    <w:rsid w:val="00B9720A"/>
    <w:rsid w:val="00BA12F4"/>
    <w:rsid w:val="00BA2004"/>
    <w:rsid w:val="00BA3E25"/>
    <w:rsid w:val="00BD66B9"/>
    <w:rsid w:val="00BE1F11"/>
    <w:rsid w:val="00BE5247"/>
    <w:rsid w:val="00BE5DB4"/>
    <w:rsid w:val="00C267CB"/>
    <w:rsid w:val="00C33FCD"/>
    <w:rsid w:val="00C45A88"/>
    <w:rsid w:val="00C51AFD"/>
    <w:rsid w:val="00C55758"/>
    <w:rsid w:val="00C63FB7"/>
    <w:rsid w:val="00C71858"/>
    <w:rsid w:val="00C802B4"/>
    <w:rsid w:val="00C81576"/>
    <w:rsid w:val="00C93560"/>
    <w:rsid w:val="00C93817"/>
    <w:rsid w:val="00CA7F44"/>
    <w:rsid w:val="00CB0FAA"/>
    <w:rsid w:val="00CB1AD7"/>
    <w:rsid w:val="00CD2370"/>
    <w:rsid w:val="00CD2C1B"/>
    <w:rsid w:val="00CE3D58"/>
    <w:rsid w:val="00CF6748"/>
    <w:rsid w:val="00D05C47"/>
    <w:rsid w:val="00D34B19"/>
    <w:rsid w:val="00D60CC8"/>
    <w:rsid w:val="00D61CC7"/>
    <w:rsid w:val="00D6497F"/>
    <w:rsid w:val="00D6638E"/>
    <w:rsid w:val="00D752A1"/>
    <w:rsid w:val="00D82BE2"/>
    <w:rsid w:val="00DA2D09"/>
    <w:rsid w:val="00DC1F19"/>
    <w:rsid w:val="00DC1F62"/>
    <w:rsid w:val="00DD2B0B"/>
    <w:rsid w:val="00DD32F6"/>
    <w:rsid w:val="00DD6D6F"/>
    <w:rsid w:val="00DD7ABB"/>
    <w:rsid w:val="00DE3A01"/>
    <w:rsid w:val="00DE7105"/>
    <w:rsid w:val="00E245F8"/>
    <w:rsid w:val="00E26A71"/>
    <w:rsid w:val="00E276D8"/>
    <w:rsid w:val="00E27C1D"/>
    <w:rsid w:val="00E436A5"/>
    <w:rsid w:val="00E53F98"/>
    <w:rsid w:val="00E56510"/>
    <w:rsid w:val="00E7269C"/>
    <w:rsid w:val="00E77D69"/>
    <w:rsid w:val="00E849A3"/>
    <w:rsid w:val="00E90433"/>
    <w:rsid w:val="00EA6F2F"/>
    <w:rsid w:val="00EC1ACD"/>
    <w:rsid w:val="00EC27EB"/>
    <w:rsid w:val="00EC389C"/>
    <w:rsid w:val="00EC60BC"/>
    <w:rsid w:val="00F02991"/>
    <w:rsid w:val="00F1125D"/>
    <w:rsid w:val="00F1546E"/>
    <w:rsid w:val="00F235A4"/>
    <w:rsid w:val="00F27BF4"/>
    <w:rsid w:val="00F47475"/>
    <w:rsid w:val="00F60AC8"/>
    <w:rsid w:val="00F70AEE"/>
    <w:rsid w:val="00F81B1D"/>
    <w:rsid w:val="00F83C04"/>
    <w:rsid w:val="00FA2794"/>
    <w:rsid w:val="00FA4B15"/>
    <w:rsid w:val="00FB1509"/>
    <w:rsid w:val="00FB59BD"/>
    <w:rsid w:val="00FC326B"/>
    <w:rsid w:val="00FC4DE0"/>
    <w:rsid w:val="00FD6CAF"/>
    <w:rsid w:val="00FE5C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6D898-3275-449F-946C-7AB07AC54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3971</Words>
  <Characters>22637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56</cp:revision>
  <cp:lastPrinted>2019-08-10T06:20:00Z</cp:lastPrinted>
  <dcterms:created xsi:type="dcterms:W3CDTF">2020-01-13T08:38:00Z</dcterms:created>
  <dcterms:modified xsi:type="dcterms:W3CDTF">2020-01-28T10:03:00Z</dcterms:modified>
</cp:coreProperties>
</file>