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2pt;height:35.1pt" o:ole="" fillcolor="window">
                  <v:imagedata r:id="rId6" o:title=""/>
                </v:shape>
                <o:OLEObject Type="Embed" ProgID="Word.Picture.8" ShapeID="_x0000_i1025" DrawAspect="Content" ObjectID="_1791113462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604E0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bookmarkStart w:id="0" w:name="_GoBack"/>
            <w:r w:rsidR="00604E07">
              <w:rPr>
                <w:rFonts w:ascii="Century Gothic" w:hAnsi="Century Gothic"/>
                <w:b/>
                <w:sz w:val="24"/>
                <w:szCs w:val="24"/>
              </w:rPr>
              <w:t>85925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EF10CF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7001DA" w:rsidRDefault="00BC5F23" w:rsidP="00F27C4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7001DA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7001DA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HPBP_MED_ STD_</w:t>
            </w:r>
            <w:r w:rsidR="00F27C45">
              <w:rPr>
                <w:rFonts w:ascii="Century Gothic" w:hAnsi="Century Gothic"/>
                <w:b/>
                <w:sz w:val="24"/>
                <w:szCs w:val="24"/>
              </w:rPr>
              <w:t>DRUGS 04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_ RC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2E0B95" w:rsidP="002E0B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12.10.2024</w:t>
            </w:r>
          </w:p>
        </w:tc>
        <w:tc>
          <w:tcPr>
            <w:tcW w:w="4519" w:type="dxa"/>
          </w:tcPr>
          <w:p w:rsidR="00B05006" w:rsidRPr="00AC42A4" w:rsidRDefault="00B05006" w:rsidP="002E0B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Due d</w:t>
            </w:r>
            <w:r w:rsidR="002E0B95">
              <w:rPr>
                <w:rFonts w:ascii="Century Gothic" w:hAnsi="Century Gothic"/>
                <w:bCs/>
                <w:sz w:val="24"/>
                <w:szCs w:val="24"/>
              </w:rPr>
              <w:t xml:space="preserve">ate for submission of quotation </w:t>
            </w:r>
            <w:r w:rsidR="002E0B95">
              <w:rPr>
                <w:rFonts w:ascii="Century Gothic" w:hAnsi="Century Gothic"/>
                <w:b/>
                <w:sz w:val="24"/>
                <w:szCs w:val="24"/>
              </w:rPr>
              <w:t>22.10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.2024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2E0B9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26.10</w:t>
            </w:r>
            <w:r w:rsidR="009D4F9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.2024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842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604E07">
              <w:rPr>
                <w:rFonts w:ascii="Century Gothic" w:hAnsi="Century Gothic"/>
                <w:b/>
                <w:sz w:val="24"/>
                <w:szCs w:val="24"/>
              </w:rPr>
              <w:t>85925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HPBP_MED_ STD_</w:t>
            </w:r>
            <w:r w:rsidR="002E0B95">
              <w:rPr>
                <w:rFonts w:ascii="Century Gothic" w:hAnsi="Century Gothic"/>
                <w:b/>
                <w:sz w:val="24"/>
                <w:szCs w:val="24"/>
              </w:rPr>
              <w:t>DRUGS 04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_ RC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4737AC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4737A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16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.0</w:t>
            </w:r>
            <w:r w:rsidR="00272F5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9</w:t>
            </w:r>
            <w:r w:rsidR="009D4F9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.2024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12:00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9D4F9C">
              <w:rPr>
                <w:b/>
                <w:bCs/>
                <w:sz w:val="24"/>
              </w:rPr>
              <w:t>4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CF" w:rsidRDefault="00EF10CF">
      <w:r>
        <w:separator/>
      </w:r>
    </w:p>
  </w:endnote>
  <w:endnote w:type="continuationSeparator" w:id="0">
    <w:p w:rsidR="00EF10CF" w:rsidRDefault="00EF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3658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CF" w:rsidRDefault="00EF10CF">
      <w:r>
        <w:separator/>
      </w:r>
    </w:p>
  </w:footnote>
  <w:footnote w:type="continuationSeparator" w:id="0">
    <w:p w:rsidR="00EF10CF" w:rsidRDefault="00EF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36582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867F3"/>
    <w:rsid w:val="002973EA"/>
    <w:rsid w:val="00297FAE"/>
    <w:rsid w:val="002C0D74"/>
    <w:rsid w:val="002E0B95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416DFA"/>
    <w:rsid w:val="004304B7"/>
    <w:rsid w:val="00436BA4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5E2449"/>
    <w:rsid w:val="00604842"/>
    <w:rsid w:val="00604E07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4765A"/>
    <w:rsid w:val="007702BA"/>
    <w:rsid w:val="00785AD7"/>
    <w:rsid w:val="00795843"/>
    <w:rsid w:val="007A29CB"/>
    <w:rsid w:val="007B616C"/>
    <w:rsid w:val="007C1770"/>
    <w:rsid w:val="007D2A81"/>
    <w:rsid w:val="00802AE5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601AA"/>
    <w:rsid w:val="00D90A43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EF10CF"/>
    <w:rsid w:val="00F00B59"/>
    <w:rsid w:val="00F1608C"/>
    <w:rsid w:val="00F27C45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2024-10-22T09:15:00Z</dcterms:created>
  <dcterms:modified xsi:type="dcterms:W3CDTF">2024-10-22T09:15:00Z</dcterms:modified>
</cp:coreProperties>
</file>